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advblgpr.gif&quot; \* MERGEFORMAT \d  \x \y">
        <w:r>
          <w:drawing>
            <wp:inline distT="0" distB="0" distL="0" distR="0">
              <wp:extent cx="1428750" cy="1590675"/>
              <wp:effectExtent l="0" t="0" r="0" b="0"/>
              <wp:docPr id="1" name="Picture rId37B71990" descr="http://www.arcat.com/clients/gfx/advblgpr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37B71990" descr="http://www.arcat.com/clients/gfx/advblgpr.gif"/>
                      <pic:cNvPicPr>
                        <a:picLocks noChangeAspect="1" noChangeArrowheads="1"/>
                      </pic:cNvPicPr>
                    </pic:nvPicPr>
                    <pic:blipFill>
                      <a:blip r:link="rId37B719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59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04090</w:t>
      </w:r>
    </w:p>
    <w:p>
      <w:pPr>
        <w:pStyle w:val="ARCATTitle"/>
        <w:jc w:val="center"/>
        <w:rPr/>
      </w:pPr>
      <w:r>
        <w:rPr/>
        <w:t>MASONRY CAVITY DRAINAGE, WEEPHOLES, AND VENTS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2008 - 2016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Advanced Building Products, Inc.; Engineered rain screen products, mortar deflectors, and masonry accessories.</w:t>
      </w:r>
      <w:r>
        <w:rPr/>
        <w:br/>
        <w:t>This section is based on the products of Advanced Building Products, Inc., which is located at:</w:t>
      </w:r>
      <w:r>
        <w:rPr/>
        <w:br/>
        <w:t>95 Cyro Dr.</w:t>
      </w:r>
      <w:r>
        <w:rPr/>
        <w:br/>
        <w:t>Sanford, ME 04073</w:t>
      </w:r>
      <w:r>
        <w:rPr/>
        <w:br/>
        <w:t>Toll Free Tel: 800-252-2306</w:t>
      </w:r>
      <w:r>
        <w:rPr/>
        <w:br/>
        <w:t>Tel: 207-490-2306</w:t>
      </w:r>
      <w:r>
        <w:rPr/>
        <w:br/>
        <w:t>Fax: 207-490-2998</w:t>
      </w:r>
      <w:r>
        <w:rPr/>
        <w:br/>
        <w:t>Email: </w:t>
      </w:r>
      <w:hyperlink r:id="rIdDAA68281_1" w:history="1">
        <w:r>
          <w:rPr>
            <w:color w:val="802020"/>
            <w:u w:val="single"/>
          </w:rPr>
          <w:t>request info (klolley@abp-1.com)</w:t>
        </w:r>
      </w:hyperlink>
      <w:r>
        <w:rPr/>
        <w:t/>
      </w:r>
      <w:r>
        <w:rPr/>
        <w:br/>
        <w:t>Web: </w:t>
      </w:r>
      <w:hyperlink r:id="rIdDAA68281_2" w:history="1">
        <w:r>
          <w:rPr>
            <w:color w:val="802020"/>
            <w:u w:val="single"/>
          </w:rPr>
          <w:t>www.advancedbuildingproducts.com</w:t>
        </w:r>
      </w:hyperlink>
      <w:r>
        <w:rPr/>
        <w:t>  </w:t>
      </w:r>
      <w:r>
        <w:rPr/>
        <w:br/>
        <w:t> [ </w:t>
      </w:r>
      <w:hyperlink r:id="rIdDAA68281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The people here at Advanced Building Products have built a solid reputation for designing, manufacturing and marketing high quality masonry drainage products for the past 40 years. In 2007 Advanced Building Products expanded our manufacturing capabilities to include a whole new line of geotextile products, which include: rainscreen drainage mats, roof ventilation mats, green roof drainage &amp; growing mats, sound management products, and many new innovative products still in the design stage.</w:t>
      </w:r>
      <w:r>
        <w:rPr/>
        <w:br/>
        <w:t>With in-house and field technicians at your service, and an international network of distribution, we're here to provide both commercial and residential projects everything needed for moisture management and wall ventilation.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rainscreens.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cavity wall drainage mats.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Mortar deflectors.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accessories.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04200 - Unit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04400 - Stone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04700 - Manufactured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07060 - Rainscreen Drainage Mat.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07460 - Siding.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09220 - Cement Stucco.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C 920 - Standard Specification for Elastomeric Joint Sealants.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638 - Standard Test Method for Tensile Properties of Plastics.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790 - Standard Test Methods for Flexural Properties of Unreinforced and Reinforced Plastics and Electrical Insulating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792 - Standard Test Methods for Density and Specific Gravity (Relative Density) of Plastics by Displacement.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822 - Standard Practice for Filtered Open-Flame Carbon-Arc Exposures of Paint and Related Coatings.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2240 - Standard Test Method for Rubber PropertyDurometer Hardness.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1238B - Standard Test Method for Melt Flow Rates of Thermoplastics by Extrusion Plastometer.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2822 - Standard Specification for Asphalt Roof Cement, Asbestos Containing.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4716 - Standard Test Method for Determining the (In-plane) Flow Rate per Unit Width and Hydraulic Transmissivity of a Geosynthetic Using a Constant Head.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5035 - Breaking Force and Elongation of Textile Fabrics (Strip Method).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5261 - Standard Test Method for Measuring Mass per Unit Area of Geotextiles.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5736 - Standard Test Method for Thickness of Highloft Nonwoven Fabrics.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6242 - Standard Test Method for Mass Unit Area of Nonwoven Fabrics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 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E2925 - Standard Specification for Manufactured Polymeric Drainage and Ventilation Materials Used to Provide a Rainscreen Function.</w:t>
      </w:r>
    </w:p>
    <w:p>
      <w:pPr>
        <w:pStyle w:val="ARCATnote"/>
        <w:rPr/>
      </w:pPr>
      <w:r>
        <w:rPr/>
        <w:t>** NOTE TO SPECIFIER ** The standards listed below are the standards referred to in ASTM E2925.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C578 - Specification for Rigid, Cellular Polystyrene Thermal Insulation.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C1338 - Test Method for Determining Fungi resistance of Insulation Materials and Facings.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D3045 - Practice for Heat Aging of Plastics Without Load.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D5199 - Test Method for Measuring the Nominal Thickness of Geosynthetics.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D5322 - Practice for Laboratory Immersion Procedures for Evaluating the Chemical Resistance of Geosynthetics to Liquids.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D6108 - Test Method for Compressive Properties of Plastic Lumber and Shapes.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D6364 - Test Method for Determining Short-Term Compression Behavior of Geosynthetics.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E84 - Test Method for Surface Burning Characteristics of Building Materials.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E283 - Test Method for Determining Rate of Air Leakage Through Exterior Windows, Curtain Walls, and Doors Under Specified Pressure Differences Across the Specimen.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631 - Terminology of Building Constructions.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2273 - Test Method for Determining the Drainage Efficiency of Exterior Insulation and Finish Systems (EIFS) Clad Wall Assemblies.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2556/E2556M - Specification for Vapor Permeable Flexible Sheet Water-Resistive Barriers Intended for Mechanical Attachment.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G154 - Practice for Operating Fluorescent Ultraviolet (UV) Lamp Apparatus for Exposure of Nonmetallic Materials.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Unites States Federal Specifications: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SS-C-153 - Federal Specification: Cement, Bituminous, Plastic.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TT-S-00230-C - Sealing Compound: Elastomeric Type, Single Component.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Erosion Control Technology Council (ECTC) TASC 00197 - Porosity Test.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01300.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For each finish product specified, two samples, minimum size 6 inches (150 mm) square representing actual product, color, and patterns.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Minimum 5 year experience manufacturing similar products.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Minimum 2 year experience installing similar products.</w:t>
      </w:r>
    </w:p>
    <w:p>
      <w:pPr>
        <w:pStyle w:val="ARCATnote"/>
        <w:rPr/>
      </w:pPr>
      <w:r>
        <w:rPr/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Provide a mock-up for evaluation of surface preparation techniques and application workmanship.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 areas designated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proceed with remaining work until workmanship is approved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Refinish mock-up area as required to produce acceptable work.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MEETINGS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minimum two weeks prior to starting work of this section.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and store products in manufacturer's unopened packaging bearing the brand name and manufacturer's identification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Handling: Handle materials to avoid damage.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SEQUENCING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Advanced Building Products, Inc., which is located at: 95 Cyro Dr.; Sanford, ME 04073; Toll Free Tel: 800-252-2306; Tel: 207-490-2306; Fax: 207-490-2998; Email: </w:t>
      </w:r>
      <w:hyperlink r:id="rId9CCE60DE_1" w:history="1">
        <w:r>
          <w:rPr>
            <w:color w:val="802020"/>
            <w:u w:val="single"/>
          </w:rPr>
          <w:t>request info (klolley@abp-1.com)</w:t>
        </w:r>
      </w:hyperlink>
      <w:r>
        <w:rPr/>
        <w:t>; Web: </w:t>
      </w:r>
      <w:hyperlink r:id="rId9CCE60DE_2" w:history="1">
        <w:r>
          <w:rPr>
            <w:color w:val="802020"/>
            <w:u w:val="single"/>
          </w:rPr>
          <w:t>www.advancedbuildingproducts.com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01600.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RAINSCREENS</w:t>
      </w:r>
    </w:p>
    <w:p>
      <w:pPr>
        <w:pStyle w:val="ARCATnote"/>
        <w:rPr/>
      </w:pPr>
      <w:r>
        <w:rPr/>
        <w:t>** NOTE TO SPECIFIER ** Masonry rainscreens create pressure-equalized airspace between structural envelope and exterior masonry cladding.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Drainage Mat: Randomly oriented polypropylene core mesh, geometrically configured, designed for drainage of moisture and moisture vapor in wall applications.</w:t>
      </w:r>
    </w:p>
    <w:p>
      <w:pPr>
        <w:pStyle w:val="ARCATnote"/>
        <w:rPr/>
      </w:pPr>
      <w:r>
        <w:rPr/>
        <w:t>** NOTE TO SPECIFIER ** Product Selection: Use Mortairvent 202 (.25 inch (6 mm) nominal thickness) for manufactured stone, thin-set natural stone, stucco, and siding. For natural stone or brick, use any Mortairvent rainscreen product.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Mortairvent as manufactured by Advanced Building Products, Inc.</w:t>
      </w:r>
    </w:p>
    <w:p>
      <w:pPr>
        <w:pStyle w:val="ARCATnote"/>
        <w:rPr/>
      </w:pPr>
      <w:r>
        <w:rPr/>
        <w:t>** NOTE TO SPECIFIER ** Delete paragraphs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Mortairvent 202, two-ply mat. Cornrow configuration, spun and heat welded into entangled geo-matrix. 0.25 inch (6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Up to 40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0.268 inch (6.81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0.0325 lbs per cu in (0.901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93.8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11.25 oz per sq yd (382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9.20 oz per sq yd (312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3.70 gpm (14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0.0823 sq ft per s (0.00765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15.8 cfm (447.4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0.007502 sq ft per s (0.000697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Mortairvent 203, two-ply mat. Waffle configuration, spun and heat welded into entangled geomatrix, 0.4 inch (10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Up to 40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0.407 inch (10.3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(0.903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95.3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15.10 oz per sq yd (512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13.05 oz per sq yd (442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7.01 gpm (26.5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0.156 sq ft per s (0.0145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54.5 cfm (1543.3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0.026 sq ft per s (0.00241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Random configuration, spun and heat welded into entangled geomatrix, 0.8 inch (20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40 percent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0.768 inch (19.5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(0.910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97.7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 12.15 oz per sq yd (412 g per sq m).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12.0 gpm per (45.42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0.267 sq ft per s (0.0248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89.5 cu ft per min (2534.36 l per min)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0.043 sq ft per s (0.00396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CAVITY WALL DRAINAGE MATS</w:t>
      </w:r>
    </w:p>
    <w:p>
      <w:pPr>
        <w:pStyle w:val="ARCATnote"/>
        <w:rPr/>
      </w:pPr>
      <w:r>
        <w:rPr/>
        <w:t>** NOTE TO SPECIFIER ** Masonry cavity wall drainage vent creates a mortar-free airspace between structural envelope and exterior masonry cladding to promote moisture drainage and ventilation of a full height, masonry cavity wall.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Mortairvent CW, as manufactured by Advanced Building Products, Inc.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Waffle configuration, spun and heat welded into entangled geomatrix, 0.4 inch (10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Mortar Deflection Fabric: Polyester; laminated to outside of core mesh. Recycled content: 100 percent.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16 inches (40.64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39 inches (99.06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0.407 inch (10.3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(0.903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95.3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15.10 oz per sq yd (512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13.05 oz per sq yd (442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7.01 gpm (26.5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0.156 sq ft per s (0.0145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54.5 cfm (1543.3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0.026 sq ft per s (0.00241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Random configuration, spun and heat welded into entangled geomatrix, 0.8 inch (20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Mortar Deflection Fabric: Polyester; laminated to outside of core mesh. Recycled content: 100 percent.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16 inches (40.64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39 inches (99.06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0.768 inch (19.5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(0.910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97.7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 12.15 oz per sq yd (412 g per sq m).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12.0 gpm per (45.42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0.267 sq ft per s (0.0248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89.5 cu ft per min (2534.36 l per min)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0.043 sq ft per s (0.00396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MORTAR DEFLECTORS</w:t>
      </w:r>
    </w:p>
    <w:p>
      <w:pPr>
        <w:pStyle w:val="ARCATnote"/>
        <w:rPr/>
      </w:pPr>
      <w:r>
        <w:rPr/>
        <w:t>** NOTE TO SPECIFIER ** 1.0 inch (25 mm) thick Mortar Maze is recommended for 1 to 1-3/4 inch (25 to 44 mm) wide cavities. 2 inch (51 mm) thick Mortar Maze is recommended for 2 inches (51 mm) wide cavities. Mortar Maze is polymer mesh strips with a geometric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Maze, as manufactured by Advanced Building Products, Inc.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 inch (25 mm) thick high density polypropylene 90 percent open woven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2 inch (51 mm) thick, high density polypropylene 90 percent open woven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11 inches (279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5 ft (1.52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1.0 inch (25 mm) thick Mortar Break DT is recommended for 1 to 1-3/4 inch (25 to 44 mm) wide cavities. 2 inch (51 mm) thick Mortar Break DT is recommended for 2 inches (51 mm) wide cavities. Mortar Break is a multi-level mortar deflection system for cavity wall construction that breaks up mortar on four different levels.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 DT, as manufactured by Advanced Building Products, Inc.</w:t>
      </w:r>
    </w:p>
    <w:p>
      <w:pPr>
        <w:pStyle w:val="ARCATnote"/>
        <w:rPr/>
      </w:pPr>
      <w:r>
        <w:rPr/>
        <w:t>** NOTE TO SPECIFIER ** Delete two of the three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 inch (25 mm) thick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2 inch (51 mm) thick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0.4 inch (10mm) thick,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inches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5 ft. (1.52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0.8 inch (20 mm) thick Mortar Break is recommended for 1 to 1-3/4 inch (25 to 44 mm) wide cavities. Mortar Break is polymer mesh strips with a dimple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0.8 inch (20 mm) thick high density polypropylene, 90 percent open woven mesh formed into dimple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13 in (330 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16 in (406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20 in (508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39 in (991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50 ft. (152.4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1.6 inch (41 mm) thick Mortar Break II is recommended for 2 inch (51 mm) wide cavities. Mortar Break II is polymer mesh strips with a dimple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 II,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1.6 inch (40 mm) thick high density polypropylene, 90 percent open woven mesh formed into dimple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35 ft. (10.7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0.4 inch (10 mm) thick Mortar Catch is recommended for wide cavity construction (greater than 2 inch (51 mm) wide cavities). Mortar Catch is nylon mesh strips designed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Catch,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0.4 inch (10 mm) thick high nylon open woven mesh.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20 in (508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39 in (991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100 ft. (30.5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CMU Mortar Deflection and Bonding Screen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Grout Catch,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Strong, lightweight, UV stabilized polymer mesh screen formulated with a high tensile and burst strength micro-thin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 material: Polypropylene.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Length: 100 ft (30.5 m).</w:t>
      </w:r>
    </w:p>
    <w:p>
      <w:pPr>
        <w:pStyle w:val="ARCATnote"/>
        <w:rPr/>
      </w:pPr>
      <w:r>
        <w:rPr/>
        <w:t>** NOTE TO SPECIFIER ** For 8 in CMU block.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6 in.</w:t>
      </w:r>
    </w:p>
    <w:p>
      <w:pPr>
        <w:pStyle w:val="ARCATnote"/>
        <w:rPr/>
      </w:pPr>
      <w:r>
        <w:rPr/>
        <w:t>** NOTE TO SPECIFIER ** For 10 in CMU block.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8 in.</w:t>
      </w:r>
    </w:p>
    <w:p>
      <w:pPr>
        <w:pStyle w:val="ARCATnote"/>
        <w:rPr/>
      </w:pPr>
      <w:r>
        <w:rPr/>
        <w:t>** NOTE TO SPECIFIER ** For 12 in CMU.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10 in.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ACCESSORlES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Vents: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Maze Cell (Weep) Vent system,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Cellular, honeycomb design weep vents for embedding in masonry wall mortar joints.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Material: High density polypropylene, impervious to water and resistant to UV degradation. Tested in conformance with ASTM D 2240, ASTM D 790B, ASTM D 638, and ASTM D 1238B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3/8 by 2 1/2 by 3 3/8 in (10 by 64 by 86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3/8 by 3 1/2 by 3 1/2 in (10 by 89 by 89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Selected by Architect from manufacturer's full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Match mortar color.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Clear.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Tan.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Cocoa.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Brown.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______.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Tubes: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Maze Weep Tubes,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Durable clear or opaque polymer.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Dimensions: 3/8 in (10 mm) diameter by 4 in (102 mm) long.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Cotton wicks.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Stainless steel screen.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Mesh: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Break Weep Mesh,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Non-woven, flame retardant polyester fiber material tested in conformance to ASTM D5736 and ASTM D6242.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1/2 in (13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2 1/2 by 3 1/2 in (64 by 89 mm)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Termination Bars: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Advanced Termination Bars,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Stainless Steel Termination Bars: 0.075 in (2 mm) thick, 1 in (25 mm) wide, and 96 in (2438 mm) long. Holes 8 in (203 mm)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Aluminum (Alloy 6063) Termination Bars: 0.090 in (2.3 mm) thick, 1 in (25 mm) wide, and 120 in (3048 mm). Holes are 8 in (203 mm)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PVC Plastic Termination Bars: 0.125 in (3 mm) thick, 1 in (25 mm) wide, 96 in (2438 mm) long. Plastic Termination Bars can be custom cut to size and easily fastened on the job site. No pre-drilled holes.</w:t>
      </w:r>
    </w:p>
    <w:p>
      <w:pPr>
        <w:pStyle w:val="ARCATnote"/>
        <w:rPr/>
      </w:pPr>
      <w:r>
        <w:rPr/>
        <w:t>** NOTE TO SPECIFIER ** Moistseal is intended for use as a concealed waterproofing membrane on foundation walls and under concrete slabs; foundation damp proofing, slab damp proofing, an under slab damp proofing.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Waterproofing: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Moistseal,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Polyvinyl chloride sheet waterproofing membrane.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No cracking or flaking when bent through 180 degrees over a 1/32 in (.8 mm) mandrel and then bent at the same point over the same size mandrel in the opposite direction through 360 degrees.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ASTM D-822 for at least 400 hours.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Type 20 - 0.020 in (0.51 mm) weighing approx. 22 ounces per sq. yd (746 grams per sq. 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48 in (1219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60 in (1524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Type 30 - 0.030 in (0.76 mm) weighing approx. 33 ounces per sq. yd (119 grams per sq. 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48 in (1219 mm).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Sealants: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Sealtite,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TT-S-00230C, Type II, Class A and ASTM C920, Grade NS, Class 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Material: High performance acrylic urethane latex. Permanently flexible, non-flammable, easy water cleanup, cured sealant is paintable, mildewcide added to protect cured sealant.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VOC level: 1.33 oz per gal (10 grams per liter).</w:t>
      </w:r>
    </w:p>
    <w:p>
      <w:pPr>
        <w:pStyle w:val="ARCATnote"/>
        <w:rPr/>
      </w:pPr>
      <w:r>
        <w:rPr/>
        <w:t>** NOTE TO SPECIFIER ** Specific times vary due to temperature and humidity.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Cure time: Tooling - 10 to 20 minutes; skin time - 30 to 60 minutes; Full cure - 24 hours to 14 days.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Shore "A" hardness: 35.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 70 psi (482.6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 900 percent.</w:t>
      </w:r>
    </w:p>
    <w:p>
      <w:pPr>
        <w:pStyle w:val="ARCATnote"/>
        <w:rPr/>
      </w:pPr>
      <w:r>
        <w:rPr/>
        <w:t>** NOTE TO SPECIFIER ** Delete colors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Clear (White when applied, cures clear).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 001.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Clay 301.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409.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429.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445.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451.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455.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466,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 511.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 521.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Green 706.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______.</w:t>
      </w:r>
    </w:p>
    <w:p>
      <w:pPr>
        <w:pStyle w:val="ARCATnote"/>
        <w:rPr/>
      </w:pPr>
      <w:r>
        <w:rPr/>
        <w:t>** NOTE TO SPECIFIER ** Used with Copper laminated flashings. Can also be used as a general purpose cement for repairing leaks in asphalt roofs, metal roofs, chimneys, flues,</w:t>
      </w:r>
      <w:r>
        <w:rPr/>
        <w:br/>
        <w:t>down spouts and concrete.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Cop-R-Tite Flashing Mastic,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Compounded, trowel grade composition of asphalt, mineral stabilizers, and interfibe. providing a durable weather resistant, elastic coating with excellent adhesion properties.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SS-C-153 Type 1, SSPC No. 12, and ASTM D2822 Type 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Boiling Point: 650 degrees F (343.3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Flash point and method: 110 degrees F (43.3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Solubility in water: None.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Primer:</w:t>
      </w:r>
    </w:p>
    <w:p>
      <w:pPr>
        <w:pStyle w:val="ARCATnote"/>
        <w:rPr/>
      </w:pPr>
      <w:r>
        <w:rPr/>
        <w:t>** NOTE TO SPECIFIER ** Quick dry, high-tack primer provides maximum bond to asphalt, concrete, masonry and metal surfaces.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Low VOC Waterproofing Primer,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Primer Seal is a high quality, rubberized, low VOC primer, formulated for waterproofing.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Solids content: 38 percent by weight.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Tack free time: 30 minutes at 75 degrees F (23.9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VOC: Less than 60 oz per gal (450 grams per liter).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Flash point Less than 68 degrees F (20 degrees C).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roofing accessories per manufacturer's instructions and approved submittals. Install in proper relationship to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04090-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37B71990" Type="http://schemas.openxmlformats.org/officeDocument/2006/relationships/image" Target="http://www.arcat.com/clients/gfx/advblgpr.gif" TargetMode="External" /><Relationship Id="rIdDAA68281_1" Type="http://schemas.openxmlformats.org/officeDocument/2006/relationships/hyperlink" Target="http://admin.arcat.com/users.pl?action=UserEmail&amp;company=Advanced+Building+Products,+Inc.&amp;coid=30161&amp;rep=&amp;fax=207-490-2998&amp;message=RE:%20Spec%20Question%20(04090abp):%20%20&amp;mf=" TargetMode="External" /><Relationship Id="rIdDAA68281_2" Type="http://schemas.openxmlformats.org/officeDocument/2006/relationships/hyperlink" Target="http://www.advancedbuildingproducts.com" TargetMode="External" /><Relationship Id="rIdDAA68281_3" Type="http://schemas.openxmlformats.org/officeDocument/2006/relationships/hyperlink" Target="http://www.arcat.com/arcatcos/cos30/arc30161.html" TargetMode="External" /><Relationship Id="rId9CCE60DE_1" Type="http://schemas.openxmlformats.org/officeDocument/2006/relationships/hyperlink" Target="http://admin.arcat.com/users.pl?action=UserEmail&amp;company=Advanced+Building+Products,+Inc.&amp;coid=30161&amp;rep=&amp;fax=207-490-2998&amp;message=RE:%20Spec%20Question%20(04090abp):%20%20&amp;mf=" TargetMode="External" /><Relationship Id="rId9CCE60DE_2" Type="http://schemas.openxmlformats.org/officeDocument/2006/relationships/hyperlink" Target="http://www.advancedbuildingproduct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