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8E013C2A"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E013C2A" descr="https://www.arcat.com/clients/gfx/amarr.png"/>
                      <pic:cNvPicPr>
                        <a:picLocks noChangeAspect="1" noChangeArrowheads="1"/>
                      </pic:cNvPicPr>
                    </pic:nvPicPr>
                    <pic:blipFill>
                      <a:blip r:link="rId8E013C2A"/>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08360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6156A60C_1" w:history="1">
        <w:r>
          <w:rPr>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04810 - Unit Masonry Assemblies: Prepared opening in masonry.</w:t>
      </w:r>
    </w:p>
    <w:p w:rsidR="ABFFABFF" w:rsidRDefault="ABFFABFF" w:rsidP="ABFFABFF">
      <w:pPr>
        <w:pStyle w:val="ARCATParagraph"/>
        <w:numPr>
          <w:ilvl w:val="2"/>
          <w:numId w:val="1"/>
        </w:numPr>
        <w:rPr/>
      </w:pPr>
      <w:r>
        <w:rPr/>
        <w:t>Section 05500 - Metal Fabrications: - Steel framed door openings.</w:t>
      </w:r>
    </w:p>
    <w:p w:rsidR="ABFFABFF" w:rsidRDefault="ABFFABFF" w:rsidP="ABFFABFF">
      <w:pPr>
        <w:pStyle w:val="ARCATParagraph"/>
        <w:numPr>
          <w:ilvl w:val="2"/>
          <w:numId w:val="1"/>
        </w:numPr>
        <w:rPr/>
      </w:pPr>
      <w:r>
        <w:rPr/>
        <w:t>Section 06100 - Rough Carpentry: Wood framing and blocking for door opening.</w:t>
      </w:r>
    </w:p>
    <w:p w:rsidR="ABFFABFF" w:rsidRDefault="ABFFABFF" w:rsidP="ABFFABFF">
      <w:pPr>
        <w:pStyle w:val="ARCATParagraph"/>
        <w:numPr>
          <w:ilvl w:val="2"/>
          <w:numId w:val="1"/>
        </w:numPr>
        <w:rPr/>
      </w:pPr>
      <w:r>
        <w:rPr/>
        <w:t>Section 07900 - Joint Sealers: Perimeter sealant and backup materials.</w:t>
      </w:r>
    </w:p>
    <w:p w:rsidR="ABFFABFF" w:rsidRDefault="ABFFABFF" w:rsidP="ABFFABFF">
      <w:pPr>
        <w:pStyle w:val="ARCATParagraph"/>
        <w:numPr>
          <w:ilvl w:val="2"/>
          <w:numId w:val="1"/>
        </w:numPr>
        <w:rPr/>
      </w:pPr>
      <w:r>
        <w:rPr/>
        <w:t>Section 08710 - Door Hardware: Cylinder locks.</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 165 Carriage Ct.; Winston Salem, NC 27105; Toll Free Tel: 800-503-DOOR (3667); Fax: 336-251-1851; Email: </w:t>
      </w:r>
      <w:hyperlink r:id="rId959AFE19_1" w:history="1">
        <w:r>
          <w:rPr>
            <w:color w:val="802020"/>
            <w:u w:val="single"/>
          </w:rPr>
          <w:t>request info (ask.amarr@amarr.com)</w:t>
        </w:r>
      </w:hyperlink>
      <w:r>
        <w:rPr/>
        <w:t>; Web: </w:t>
      </w:r>
      <w:hyperlink r:id="rId959AFE19_2" w:history="1">
        <w:r>
          <w:rPr>
            <w:color w:val="802020"/>
            <w:u w:val="single"/>
          </w:rPr>
          <w:t>https://www.amarr.com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08360 -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8E013C2A" Type="http://schemas.openxmlformats.org/officeDocument/2006/relationships/image" Target="https://www.arcat.com/clients/gfx/amarr.png" TargetMode="External" /><Relationship Id="rId6156A60C_1" Type="http://schemas.openxmlformats.org/officeDocument/2006/relationships/hyperlink" Target="http://www.amarr.com" TargetMode="External" /><Relationship Id="rId959AFE19_1" Type="http://schemas.openxmlformats.org/officeDocument/2006/relationships/hyperlink" Target="https://admin.arcat.com/users.pl?action=UserEmail&amp;company=Amarr+Garage+Doors&amp;coid=30357&amp;rep=&amp;fax=336-251-1851&amp;message=RE:%20Spec%20Question%20(08360ama):%20%20&amp;mf=" TargetMode="External" /><Relationship Id="rId959AFE19_2" Type="http://schemas.openxmlformats.org/officeDocument/2006/relationships/hyperlink" Target="https://www.amar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