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B57D660C"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57D660C" descr="https://www.arcat.com/clients/gfx/airolite.png"/>
                      <pic:cNvPicPr>
                        <a:picLocks noChangeAspect="1" noChangeArrowheads="1"/>
                      </pic:cNvPicPr>
                    </pic:nvPicPr>
                    <pic:blipFill>
                      <a:blip r:link="rIdB57D660C"/>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10210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w:t>
      </w:r>
      <w:r>
        <w:rPr/>
        <w:br/>
        <w:t>P.O. Box 410</w:t>
      </w:r>
      <w:r>
        <w:rPr/>
        <w:br/>
        <w:t>Schofield, WI 54476</w:t>
      </w:r>
      <w:r>
        <w:rPr/>
        <w:br/>
        <w:t>Tel: 715-841-8757</w:t>
      </w:r>
      <w:r>
        <w:rPr/>
        <w:br/>
        <w:t>Fax: 715-841-8773</w:t>
      </w:r>
      <w:r>
        <w:rPr/>
        <w:br/>
        <w:t>Email: </w:t>
      </w:r>
      <w:hyperlink r:id="rIdA57E517C_1" w:history="1">
        <w:r>
          <w:rPr>
            <w:color w:val="802020"/>
            <w:u w:val="single"/>
          </w:rPr>
          <w:t>request info (info@airolite.com)</w:t>
        </w:r>
      </w:hyperlink>
      <w:r>
        <w:rPr/>
        <w:t/>
      </w:r>
      <w:r>
        <w:rPr/>
        <w:br/>
        <w:t>Web: </w:t>
      </w:r>
      <w:hyperlink r:id="rIdA57E517C_2" w:history="1">
        <w:r>
          <w:rPr>
            <w:color w:val="802020"/>
            <w:u w:val="single"/>
          </w:rPr>
          <w:t>https://www.airolite.com</w:t>
        </w:r>
      </w:hyperlink>
      <w:r>
        <w:rPr/>
        <w:t>  </w:t>
      </w:r>
      <w:r>
        <w:rPr/>
        <w:br/>
        <w:t> [ </w:t>
      </w:r>
      <w:hyperlink r:id="rIdA57E517C_3" w:history="1">
        <w:r>
          <w:rPr>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07920 - Joint Sealants.</w:t>
      </w:r>
    </w:p>
    <w:p w:rsidR="ABFFABFF" w:rsidRDefault="ABFFABFF" w:rsidP="ABFFABFF">
      <w:pPr>
        <w:pStyle w:val="ARCATParagraph"/>
        <w:numPr>
          <w:ilvl w:val="2"/>
          <w:numId w:val="1"/>
        </w:numPr>
        <w:rPr/>
      </w:pPr>
      <w:r>
        <w:rPr/>
        <w:t>Section 09910 -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 P.O. Box 410; Schofield, WI 54476; Tel: 715-841-8757; Fax: 715-841-8773; Email: </w:t>
      </w:r>
      <w:hyperlink r:id="rId7F312CF6_1" w:history="1">
        <w:r>
          <w:rPr>
            <w:color w:val="802020"/>
            <w:u w:val="single"/>
          </w:rPr>
          <w:t>request info (info@airolite.com)</w:t>
        </w:r>
      </w:hyperlink>
      <w:r>
        <w:rPr/>
        <w:t>; Web: </w:t>
      </w:r>
      <w:hyperlink r:id="rId7F312CF6_2" w:history="1">
        <w:r>
          <w:rPr>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FlNlSHES,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57D660C" Type="http://schemas.openxmlformats.org/officeDocument/2006/relationships/image" Target="https://www.arcat.com/clients/gfx/airolite.png" TargetMode="External" /><Relationship Id="rIdA57E517C_1" Type="http://schemas.openxmlformats.org/officeDocument/2006/relationships/hyperlink" Target="https://admin.arcat.com/users.pl?action=UserEmail&amp;company=Airolite+Co.+(The)&amp;coid=30230&amp;rep=&amp;fax=715-841-8773&amp;message=RE:%20Spec%20Question%20(10210air):%20%20&amp;mf=" TargetMode="External" /><Relationship Id="rIdA57E517C_2" Type="http://schemas.openxmlformats.org/officeDocument/2006/relationships/hyperlink" Target="https://www.airolite.com" TargetMode="External" /><Relationship Id="rIdA57E517C_3" Type="http://schemas.openxmlformats.org/officeDocument/2006/relationships/hyperlink" Target="https://www.arcat.com/arcatcos/cos30/arc30230.html" TargetMode="External" /><Relationship Id="rId7F312CF6_1" Type="http://schemas.openxmlformats.org/officeDocument/2006/relationships/hyperlink" Target="https://admin.arcat.com/users.pl?action=UserEmail&amp;company=Airolite+Co.+(The)&amp;coid=30230&amp;rep=&amp;fax=715-841-8773&amp;message=RE:%20Spec%20Question%20(10210air):%20%20&amp;mf=" TargetMode="External" /><Relationship Id="rId7F312CF6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