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endicott.gif&quot; \* MERGEFORMAT \d  \x \y">
        <w:r>
          <w:drawing>
            <wp:inline distT="0" distB="0" distL="0" distR="0">
              <wp:extent cx="1238250" cy="1685925"/>
              <wp:effectExtent l="0" t="0" r="0" b="0"/>
              <wp:docPr id="1" name="Picture rIdD85B79FA" descr="http://www.arcat.com/clients/gfx/endico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85B79FA" descr="http://www.arcat.com/clients/gfx/endicott.gif"/>
                      <pic:cNvPicPr>
                        <a:picLocks noChangeAspect="1" noChangeArrowheads="1"/>
                      </pic:cNvPicPr>
                    </pic:nvPicPr>
                    <pic:blipFill>
                      <a:blip r:link="rIdD85B79FA"/>
                      <a:srcRect/>
                      <a:stretch>
                        <a:fillRect/>
                      </a:stretch>
                    </pic:blipFill>
                    <pic:spPr bwMode="auto">
                      <a:xfrm>
                        <a:off x="0" y="0"/>
                        <a:ext cx="1238250" cy="1685925"/>
                      </a:xfrm>
                      <a:prstGeom prst="rect">
                        <a:avLst/>
                      </a:prstGeom>
                      <a:noFill/>
                    </pic:spPr>
                  </pic:pic>
                </a:graphicData>
              </a:graphic>
            </wp:inline>
          </w:drawing>
        </w:r>
      </w:fldSimple>
    </w:p>
    <w:p>
      <w:pPr>
        <w:pStyle w:val="ARCATTitle"/>
        <w:jc w:val="center"/>
        <w:rPr/>
      </w:pPr>
      <w:r>
        <w:rPr/>
        <w:t>SECTION 09 30 00</w:t>
      </w:r>
    </w:p>
    <w:p>
      <w:pPr>
        <w:pStyle w:val="ARCATTitle"/>
        <w:jc w:val="center"/>
        <w:rPr/>
      </w:pPr>
      <w:r>
        <w:rPr/>
        <w:t>TILE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2004 - 2019 ARCAT, Inc. - All rights reserved</w:t>
      </w:r>
    </w:p>
    <w:p>
      <w:pPr>
        <w:pStyle w:val="ARCATNormal"/>
        <w:rPr/>
      </w:pPr>
    </w:p>
    <w:p>
      <w:pPr>
        <w:pStyle w:val="ARCATnote"/>
        <w:rPr/>
      </w:pPr>
      <w:r>
        <w:rPr/>
        <w:t>** NOTE TO SPECIFIER ** Endicott Clay Products Company, clay tile.</w:t>
      </w:r>
      <w:r>
        <w:rPr/>
        <w:br/>
        <w:t>This section is based on the products of Endicott Clay Products Company, which is located at:</w:t>
      </w:r>
      <w:r>
        <w:rPr/>
        <w:br/>
        <w:t> 57120 707th Road</w:t>
      </w:r>
      <w:r>
        <w:rPr/>
        <w:br/>
        <w:t> Endicott, NE 68350</w:t>
      </w:r>
      <w:r>
        <w:rPr/>
        <w:br/>
        <w:t> Tel: (402) 729-3315</w:t>
      </w:r>
      <w:r>
        <w:rPr/>
        <w:br/>
        <w:t> Fax: (402) 729-5804</w:t>
      </w:r>
      <w:r>
        <w:rPr/>
        <w:br/>
        <w:t> Email: </w:t>
      </w:r>
      <w:hyperlink r:id="rId66C4D013_1" w:history="1">
        <w:r>
          <w:rPr>
            <w:color w:val="802020"/>
            <w:u w:val="single"/>
          </w:rPr>
          <w:t>endicott@endicott.com</w:t>
        </w:r>
      </w:hyperlink>
      <w:r>
        <w:rPr/>
        <w:t> </w:t>
      </w:r>
      <w:r>
        <w:rPr/>
        <w:br/>
        <w:t> Website: </w:t>
      </w:r>
      <w:hyperlink r:id="rId66C4D013_2" w:history="1">
        <w:r>
          <w:rPr>
            <w:color w:val="802020"/>
            <w:u w:val="single"/>
          </w:rPr>
          <w:t>www.endicott.com</w:t>
        </w:r>
      </w:hyperlink>
      <w:r>
        <w:rPr/>
        <w:t> </w:t>
      </w:r>
      <w:r>
        <w:rPr/>
        <w:br/>
        <w:t>Endicott Clay Products Company manufactures face brick, pavers, glazed units, pool copings, thin brick, and sculptured brick murals. This section covers their thin brick products. Note that code requirements vary between municipalities; check local code authorities for applicability of thin brick systems.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Clay tile.</w:t>
      </w:r>
    </w:p>
    <w:p w:rsidR="ABFFABFF" w:rsidRDefault="ABFFABFF" w:rsidP="ABFFABFF">
      <w:pPr>
        <w:pStyle w:val="ARCATParagraph"/>
        <w:numPr>
          <w:ilvl w:val="2"/>
          <w:numId w:val="1"/>
        </w:numPr>
        <w:rPr/>
      </w:pPr>
      <w:r>
        <w:rPr/>
        <w:t>Transition tile.</w:t>
      </w:r>
    </w:p>
    <w:p w:rsidR="ABFFABFF" w:rsidRDefault="ABFFABFF" w:rsidP="ABFFABFF">
      <w:pPr>
        <w:pStyle w:val="ARCATParagraph"/>
        <w:numPr>
          <w:ilvl w:val="2"/>
          <w:numId w:val="1"/>
        </w:numPr>
        <w:rPr/>
      </w:pPr>
      <w:r>
        <w:rPr/>
        <w:t>Tile step treads.</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Paragraph"/>
        <w:numPr>
          <w:ilvl w:val="2"/>
          <w:numId w:val="1"/>
        </w:numPr>
        <w:rPr/>
      </w:pPr>
      <w:r>
        <w:rPr/>
        <w:t>Section 09 30 50 - Tile Setting Materials and Accessories*.</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ANSI A137.1 - American National Standard for Ceramic Tile.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 Product Data ]: Manufacturer's catalog data, detail sheets, and specifications.</w:t>
      </w:r>
    </w:p>
    <w:p w:rsidR="ABFFABFF" w:rsidRDefault="ABFFABFF" w:rsidP="ABFFABFF">
      <w:pPr>
        <w:pStyle w:val="ARCATParagraph"/>
        <w:numPr>
          <w:ilvl w:val="2"/>
          <w:numId w:val="1"/>
        </w:numPr>
        <w:rPr/>
      </w:pPr>
      <w:r>
        <w:rPr/>
        <w:t>Selection Samples: For each product requiring color/texture selection, provide full size samples for final selection.</w:t>
      </w:r>
    </w:p>
    <w:p w:rsidR="ABFFABFF" w:rsidRDefault="ABFFABFF" w:rsidP="ABFFABFF">
      <w:pPr>
        <w:pStyle w:val="ARCATParagraph"/>
        <w:numPr>
          <w:ilvl w:val="2"/>
          <w:numId w:val="1"/>
        </w:numPr>
        <w:rPr/>
      </w:pPr>
      <w:r>
        <w:rPr/>
        <w:t>Verification Samples: For each product, color, and texture selected, provide two full-size units representing actual color and texture of products to be installed.</w:t>
      </w:r>
    </w:p>
    <w:p w:rsidR="ABFFABFF" w:rsidRDefault="ABFFABFF" w:rsidP="ABFFABFF">
      <w:pPr>
        <w:pStyle w:val="ARCATArticle"/>
        <w:numPr>
          <w:ilvl w:val="1"/>
          <w:numId w:val="1"/>
        </w:numPr>
        <w:rPr/>
      </w:pPr>
      <w:r>
        <w:rPr/>
        <w:t>SAMPLE PANELS</w:t>
      </w:r>
    </w:p>
    <w:p w:rsidR="ABFFABFF" w:rsidRDefault="ABFFABFF" w:rsidP="ABFFABFF">
      <w:pPr>
        <w:pStyle w:val="ARCATParagraph"/>
        <w:numPr>
          <w:ilvl w:val="2"/>
          <w:numId w:val="1"/>
        </w:numPr>
        <w:rPr/>
      </w:pPr>
      <w:r>
        <w:rPr/>
        <w:t>Construct sample panel at location indicated or directed, and as follows:</w:t>
      </w:r>
    </w:p>
    <w:p w:rsidR="ABFFABFF" w:rsidRDefault="ABFFABFF" w:rsidP="ABFFABFF">
      <w:pPr>
        <w:pStyle w:val="ARCATSubPara"/>
        <w:numPr>
          <w:ilvl w:val="3"/>
          <w:numId w:val="1"/>
        </w:numPr>
        <w:rPr/>
      </w:pPr>
      <w:r>
        <w:rPr/>
        <w:t>Size: 4 feet by 4 feet (1.2 m by 1.2 m).</w:t>
      </w:r>
    </w:p>
    <w:p w:rsidR="ABFFABFF" w:rsidRDefault="ABFFABFF" w:rsidP="ABFFABFF">
      <w:pPr>
        <w:pStyle w:val="ARCATSubPara"/>
        <w:numPr>
          <w:ilvl w:val="3"/>
          <w:numId w:val="1"/>
        </w:numPr>
        <w:rPr/>
      </w:pPr>
      <w:r>
        <w:rPr/>
        <w:t>Include all unit types and sizes to be used, and mortar joint treatment.</w:t>
      </w:r>
    </w:p>
    <w:p w:rsidR="ABFFABFF" w:rsidRDefault="ABFFABFF" w:rsidP="ABFFABFF">
      <w:pPr>
        <w:pStyle w:val="ARCATParagraph"/>
        <w:numPr>
          <w:ilvl w:val="2"/>
          <w:numId w:val="1"/>
        </w:numPr>
        <w:rPr/>
      </w:pPr>
      <w:r>
        <w:rPr/>
        <w:t>Obtain architect's acceptance of sample panel before beginning construction activities of this section.</w:t>
      </w:r>
    </w:p>
    <w:p w:rsidR="ABFFABFF" w:rsidRDefault="ABFFABFF" w:rsidP="ABFFABFF">
      <w:pPr>
        <w:pStyle w:val="ARCATParagraph"/>
        <w:numPr>
          <w:ilvl w:val="2"/>
          <w:numId w:val="1"/>
        </w:numPr>
        <w:rPr/>
      </w:pPr>
      <w:r>
        <w:rPr/>
        <w:t>Do not remove sample panel until construction activities of this section have been accepted by architect.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products of this section on pallets, with individual faces protected; keep dry.</w:t>
      </w:r>
    </w:p>
    <w:p w:rsidR="ABFFABFF" w:rsidRDefault="ABFFABFF" w:rsidP="ABFFABFF">
      <w:pPr>
        <w:pStyle w:val="ARCATParagraph"/>
        <w:numPr>
          <w:ilvl w:val="2"/>
          <w:numId w:val="1"/>
        </w:numPr>
        <w:rPr/>
      </w:pPr>
      <w:r>
        <w:rPr/>
        <w:t>Store tile in protected area or under cover on level ground; keep dry. Do not double-stack pallets.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Endicott Clay Products Co., which is located at: 57120 707th Rd.; Endicott, NE 68350; Tel: 402-729-3315; Fax: 402-729-5804; Email: </w:t>
      </w:r>
      <w:hyperlink r:id="rId7436E969_1" w:history="1">
        <w:r>
          <w:rPr>
            <w:color w:val="802020"/>
            <w:u w:val="single"/>
          </w:rPr>
          <w:t>request info (endicott@endicott.com)</w:t>
        </w:r>
      </w:hyperlink>
      <w:r>
        <w:rPr/>
        <w:t>; Web: </w:t>
      </w:r>
      <w:hyperlink r:id="rId7436E969_2" w:history="1">
        <w:r>
          <w:rPr>
            <w:color w:val="802020"/>
            <w:u w:val="single"/>
          </w:rPr>
          <w:t>http://www.endicott.com</w:t>
        </w:r>
      </w:hyperlink>
      <w:r>
        <w:rPr/>
        <w:t> </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Paragraph"/>
        <w:numPr>
          <w:ilvl w:val="2"/>
          <w:numId w:val="1"/>
        </w:numPr>
        <w:rPr/>
      </w:pPr>
      <w:r>
        <w:rPr/>
        <w:t>Substitutions: Not permitted.</w:t>
      </w:r>
    </w:p>
    <w:p w:rsidR="ABFFABFF" w:rsidRDefault="ABFFABFF" w:rsidP="ABFFABFF">
      <w:pPr>
        <w:pStyle w:val="ARCATArticle"/>
        <w:numPr>
          <w:ilvl w:val="1"/>
          <w:numId w:val="1"/>
        </w:numPr>
        <w:rPr/>
      </w:pPr>
      <w:r>
        <w:rPr/>
        <w:t>TILE</w:t>
      </w:r>
    </w:p>
    <w:p w:rsidR="ABFFABFF" w:rsidRDefault="ABFFABFF" w:rsidP="ABFFABFF">
      <w:pPr>
        <w:pStyle w:val="ARCATParagraph"/>
        <w:numPr>
          <w:ilvl w:val="2"/>
          <w:numId w:val="1"/>
        </w:numPr>
        <w:rPr/>
      </w:pPr>
      <w:r>
        <w:rPr/>
        <w:t>Clay Tile: ANSI 137.1.</w:t>
      </w:r>
    </w:p>
    <w:p w:rsidR="ABFFABFF" w:rsidRDefault="ABFFABFF" w:rsidP="ABFFABFF">
      <w:pPr>
        <w:pStyle w:val="ARCATSubPara"/>
        <w:numPr>
          <w:ilvl w:val="3"/>
          <w:numId w:val="1"/>
        </w:numPr>
        <w:rPr/>
      </w:pPr>
      <w:r>
        <w:rPr/>
        <w:t>Size: 2-1/4 inches (57.2 mm) by 7-5/8 inches (193.7 mm), 1/2 inch (12.7 mm) thick.</w:t>
      </w:r>
    </w:p>
    <w:p w:rsidR="ABFFABFF" w:rsidRDefault="ABFFABFF" w:rsidP="ABFFABFF">
      <w:pPr>
        <w:pStyle w:val="ARCATSubPara"/>
        <w:numPr>
          <w:ilvl w:val="3"/>
          <w:numId w:val="1"/>
        </w:numPr>
        <w:rPr/>
      </w:pPr>
      <w:r>
        <w:rPr/>
        <w:t>Size: 3-5/8 inches (92.1 mm) by 3-5/8 inches (92.1 mm), 1/2 inch (12.7 mm) thick.</w:t>
      </w:r>
    </w:p>
    <w:p w:rsidR="ABFFABFF" w:rsidRDefault="ABFFABFF" w:rsidP="ABFFABFF">
      <w:pPr>
        <w:pStyle w:val="ARCATSubPara"/>
        <w:numPr>
          <w:ilvl w:val="3"/>
          <w:numId w:val="1"/>
        </w:numPr>
        <w:rPr/>
      </w:pPr>
      <w:r>
        <w:rPr/>
        <w:t>Size: 3-5/8 inches (92.1 mm) by 7-5/8 inches (193.7 mm), 1/2 inch (12.7 mm) thick.</w:t>
      </w:r>
    </w:p>
    <w:p w:rsidR="ABFFABFF" w:rsidRDefault="ABFFABFF" w:rsidP="ABFFABFF">
      <w:pPr>
        <w:pStyle w:val="ARCATSubPara"/>
        <w:numPr>
          <w:ilvl w:val="3"/>
          <w:numId w:val="1"/>
        </w:numPr>
        <w:rPr/>
      </w:pPr>
      <w:r>
        <w:rPr/>
        <w:t>Size: 3-5/8 inches (92.1 mm) by 11-5/8 inches (295.3 mm), 1/2 inch (12.7 mm) thick.</w:t>
      </w:r>
    </w:p>
    <w:p w:rsidR="ABFFABFF" w:rsidRDefault="ABFFABFF" w:rsidP="ABFFABFF">
      <w:pPr>
        <w:pStyle w:val="ARCATSubPara"/>
        <w:numPr>
          <w:ilvl w:val="3"/>
          <w:numId w:val="1"/>
        </w:numPr>
        <w:rPr/>
      </w:pPr>
      <w:r>
        <w:rPr/>
        <w:t>Size: 7-5/8 inches (193.7 mm) by 7-5/8 inches (193.7 mm), 1/2 inch (12.7 mm) thick.</w:t>
      </w:r>
    </w:p>
    <w:p w:rsidR="ABFFABFF" w:rsidRDefault="ABFFABFF" w:rsidP="ABFFABFF">
      <w:pPr>
        <w:pStyle w:val="ARCATSubPara"/>
        <w:numPr>
          <w:ilvl w:val="3"/>
          <w:numId w:val="1"/>
        </w:numPr>
        <w:rPr/>
      </w:pPr>
      <w:r>
        <w:rPr/>
        <w:t>Texture: Smooth.</w:t>
      </w:r>
    </w:p>
    <w:p w:rsidR="ABFFABFF" w:rsidRDefault="ABFFABFF" w:rsidP="ABFFABFF">
      <w:pPr>
        <w:pStyle w:val="ARCATSubPara"/>
        <w:numPr>
          <w:ilvl w:val="3"/>
          <w:numId w:val="1"/>
        </w:numPr>
        <w:rPr/>
      </w:pPr>
      <w:r>
        <w:rPr/>
        <w:t>Texture: Wirecut.</w:t>
      </w:r>
    </w:p>
    <w:p w:rsidR="ABFFABFF" w:rsidRDefault="ABFFABFF" w:rsidP="ABFFABFF">
      <w:pPr>
        <w:pStyle w:val="ARCATSubPara"/>
        <w:numPr>
          <w:ilvl w:val="3"/>
          <w:numId w:val="1"/>
        </w:numPr>
        <w:rPr/>
      </w:pPr>
      <w:r>
        <w:rPr/>
        <w:t>Texture: Velour.</w:t>
      </w:r>
    </w:p>
    <w:p w:rsidR="ABFFABFF" w:rsidRDefault="ABFFABFF" w:rsidP="ABFFABFF">
      <w:pPr>
        <w:pStyle w:val="ARCATSubPara"/>
        <w:numPr>
          <w:ilvl w:val="3"/>
          <w:numId w:val="1"/>
        </w:numPr>
        <w:rPr/>
      </w:pPr>
      <w:r>
        <w:rPr/>
        <w:t>Color: As selected by Architect from manufacturer's full range.</w:t>
      </w:r>
    </w:p>
    <w:p w:rsidR="ABFFABFF" w:rsidRDefault="ABFFABFF" w:rsidP="ABFFABFF">
      <w:pPr>
        <w:pStyle w:val="ARCATParagraph"/>
        <w:numPr>
          <w:ilvl w:val="2"/>
          <w:numId w:val="1"/>
        </w:numPr>
        <w:rPr/>
      </w:pPr>
      <w:r>
        <w:rPr/>
        <w:t>Transition Tiles: TT 488, 3-5/8 inches (92.1 mm) by 7-5/8 inches (193.7 mm), tapering from 1/2 inch (12.7 mm) thickness to 1/4 inch (6.3 mm) thick rounded edge along the long edge.</w:t>
      </w:r>
    </w:p>
    <w:p w:rsidR="ABFFABFF" w:rsidRDefault="ABFFABFF" w:rsidP="ABFFABFF">
      <w:pPr>
        <w:pStyle w:val="ARCATSubPara"/>
        <w:numPr>
          <w:ilvl w:val="3"/>
          <w:numId w:val="1"/>
        </w:numPr>
        <w:rPr/>
      </w:pPr>
      <w:r>
        <w:rPr/>
        <w:t>Color: As selected by Architect from manufacturer's full range.</w:t>
      </w:r>
    </w:p>
    <w:p w:rsidR="ABFFABFF" w:rsidRDefault="ABFFABFF" w:rsidP="ABFFABFF">
      <w:pPr>
        <w:pStyle w:val="ARCATParagraph"/>
        <w:numPr>
          <w:ilvl w:val="2"/>
          <w:numId w:val="1"/>
        </w:numPr>
        <w:rPr/>
      </w:pPr>
      <w:r>
        <w:rPr/>
        <w:t>Tile Step Treads:TST488, Bullnosed front edge, grooved top surface to increase slip resistance; 3-5/8 inches (92.1 mm) by 7-5/8 inches (193.7 mm), 1/2 inch (12.7 mm) thick.</w:t>
      </w:r>
    </w:p>
    <w:p w:rsidR="ABFFABFF" w:rsidRDefault="ABFFABFF" w:rsidP="ABFFABFF">
      <w:pPr>
        <w:pStyle w:val="ARCATSubPara"/>
        <w:numPr>
          <w:ilvl w:val="3"/>
          <w:numId w:val="1"/>
        </w:numPr>
        <w:rPr/>
      </w:pPr>
      <w:r>
        <w:rPr/>
        <w:t>Color: As selected by Architect from manufacturer's full range.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units in accordance with manufacturer's instructions, approved submittals and in proper relationship with adjacent construction.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30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85B79FA" Type="http://schemas.openxmlformats.org/officeDocument/2006/relationships/image" Target="http://www.arcat.com/clients/gfx/endicott.gif" TargetMode="External" /><Relationship Id="rId66C4D013_1" Type="http://schemas.openxmlformats.org/officeDocument/2006/relationships/hyperlink" Target="mailto:endicott@endicott.com" TargetMode="External" /><Relationship Id="rId66C4D013_2" Type="http://schemas.openxmlformats.org/officeDocument/2006/relationships/hyperlink" Target="http://www.endicott.com" TargetMode="External" /><Relationship Id="rId7436E969_1" Type="http://schemas.openxmlformats.org/officeDocument/2006/relationships/hyperlink" Target="http://admin.arcat.com/users.pl?action=UserEmail&amp;company=Endicott+Clay+Products+Co&amp;coid=32282&amp;rep=&amp;fax=402-729-5804&amp;message=RE:%20Spec%20Question%20(09300end):%20%20&amp;mf=" TargetMode="External" /><Relationship Id="rId7436E969_2" Type="http://schemas.openxmlformats.org/officeDocument/2006/relationships/hyperlink" Target="http://www.endicot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