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53DB6F"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DB6F" descr="https://www.arcat.com/clients/gfx/harveyin.png"/>
                      <pic:cNvPicPr>
                        <a:picLocks noChangeAspect="1" noChangeArrowheads="1"/>
                      </pic:cNvPicPr>
                    </pic:nvPicPr>
                    <pic:blipFill>
                      <a:blip r:link="rId_53DB6F"/>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Building Products ; Wood Windows.</w:t>
      </w:r>
      <w:r>
        <w:rPr/>
        <w:br/>
        <w:t>This section is based on the products of Harvey Building Products , which is located at:1400 Main St.Waltham, MA 02451-1689Toll Free Tel: 800-822-0437Email: </w:t>
      </w:r>
      <w:hyperlink r:id="rId_D5248C_1" w:history="1">
        <w:tooltip>request info (architects@harveybp.com) downloads</w:tooltip>
        <w:r>
          <w:rPr>
            <w:rStyle w:val="Hyperlink"/>
            <w:color w:val="802020"/>
            <w:u w:val="single"/>
          </w:rPr>
          <w:t>request info (architects@harveybp.com)</w:t>
        </w:r>
      </w:hyperlink>
      <w:r>
        <w:rPr/>
        <w:t/>
      </w:r>
      <w:r>
        <w:rPr/>
        <w:br/>
        <w:t>Web: </w:t>
      </w:r>
      <w:hyperlink r:id="rId_D5248C_2" w:history="1">
        <w:tooltip>https://www.harveywindows.com downloads</w:tooltip>
        <w:r>
          <w:rPr>
            <w:rStyle w:val="Hyperlink"/>
            <w:color w:val="802020"/>
            <w:u w:val="single"/>
          </w:rPr>
          <w:t>https://www.harveywindows.com</w:t>
        </w:r>
      </w:hyperlink>
      <w:r>
        <w:rPr/>
        <w:t>  </w:t>
      </w:r>
      <w:r>
        <w:rPr/>
        <w:br/>
        <w:t> [ </w:t>
      </w:r>
      <w:hyperlink r:id="rId_D5248C_3" w:history="1">
        <w:tooltip>Click Here downloads</w:tooltip>
        <w:r>
          <w:rPr>
            <w:rStyle w:val="Hyperlink"/>
            <w:color w:val="802020"/>
            <w:u w:val="single"/>
          </w:rPr>
          <w:t>Click Here</w:t>
        </w:r>
      </w:hyperlink>
      <w:r>
        <w:rPr/>
        <w:t> ] for additional information.</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 2190 - Standard Specification for the Classification of the Durability of Sealed Insulating Glass Units.</w:t>
      </w:r>
    </w:p>
    <w:p w:rsidR="ABFFABFF" w:rsidRDefault="ABFFABFF" w:rsidP="ABFFABFF">
      <w:pPr>
        <w:pStyle w:val="ARCATSubPara"/>
        <w:numPr>
          <w:ilvl w:val="3"/>
          <w:numId w:val="1"/>
        </w:numPr>
        <w:rPr/>
      </w:pPr>
      <w:r>
        <w:rPr/>
        <w:t>ASTM F 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76D7C1_1" w:history="1">
        <w:tooltip>request info (architects@harveybp.com) downloads</w:tooltip>
        <w:r>
          <w:rPr>
            <w:rStyle w:val="Hyperlink"/>
            <w:color w:val="802020"/>
            <w:u w:val="single"/>
          </w:rPr>
          <w:t>request info (architects@harveybp.com)</w:t>
        </w:r>
      </w:hyperlink>
      <w:r>
        <w:rPr/>
        <w:t>;Web: </w:t>
      </w:r>
      <w:hyperlink r:id="rId_76D7C1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 90 00 - Joint Protection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 21 19 - Foamed-In-Place Insulation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08550 -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DB6F"
  Type="http://schemas.openxmlformats.org/officeDocument/2006/relationships/image"
  Target="https://www.arcat.com/clients/gfx/harveyin.png"
  TargetMode="External"
/>
<Relationship
  Id="rId_D5248C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D5248C_2"
  Type="http://schemas.openxmlformats.org/officeDocument/2006/relationships/hyperlink"
  Target="https://www.harveywindows.com"
  TargetMode="External"
/>
<Relationship
  Id="rId_D5248C_3"
  Type="http://schemas.openxmlformats.org/officeDocument/2006/relationships/hyperlink"
  Target="https://arcat.com/company/harvey-building-products-32985"
  TargetMode="External"
/>
<Relationship
  Id="rId_76D7C1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76D7C1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