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736140"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6140" descr="https://www.arcat.com/clients/gfx/maxxon.png"/>
                      <pic:cNvPicPr>
                        <a:picLocks noChangeAspect="1" noChangeArrowheads="1"/>
                      </pic:cNvPicPr>
                    </pic:nvPicPr>
                    <pic:blipFill>
                      <a:blip r:link="rId_7361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03541</w:t>
      </w:r>
    </w:p>
    <w:p>
      <w:pPr>
        <w:pStyle w:val="ARCATTitle"/>
        <w:jc w:val="center"/>
        <w:rPr/>
      </w:pPr>
      <w:r>
        <w:rPr/>
        <w:t>SELF-LEVELING CEMENTITIOUS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0F3CA1_1" w:history="1">
        <w:tooltip>request info (info@maxxon.com) downloads</w:tooltip>
        <w:r>
          <w:rPr>
            <w:rStyle w:val="Hyperlink"/>
            <w:color w:val="802020"/>
            <w:u w:val="single"/>
          </w:rPr>
          <w:t>request info (info@maxxon.com)</w:t>
        </w:r>
      </w:hyperlink>
      <w:r>
        <w:rPr/>
        <w:t/>
      </w:r>
      <w:r>
        <w:rPr/>
        <w:br/>
        <w:t>Web: </w:t>
      </w:r>
      <w:hyperlink r:id="rId_0F3CA1_2" w:history="1">
        <w:tooltip>http://www.maxxoncorporation.com downloads</w:tooltip>
        <w:r>
          <w:rPr>
            <w:rStyle w:val="Hyperlink"/>
            <w:color w:val="802020"/>
            <w:u w:val="single"/>
          </w:rPr>
          <w:t>http://www.maxxoncorporation.com</w:t>
        </w:r>
      </w:hyperlink>
      <w:r>
        <w:rPr/>
        <w:t>  </w:t>
      </w:r>
      <w:r>
        <w:rPr/>
        <w:br/>
        <w:t> [ </w:t>
      </w:r>
      <w:hyperlink r:id="rId_0F3CA1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03540 - Floor Underlayment.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109M - Standard Test Method for Compressive Strength of Hydraulic Cement Mortars (Using 2-in. or 50-mm Cube Specimens).</w:t>
      </w:r>
    </w:p>
    <w:p w:rsidR="ABFFABFF" w:rsidRDefault="ABFFABFF" w:rsidP="ABFFABFF">
      <w:pPr>
        <w:pStyle w:val="ARCATSubPara"/>
        <w:numPr>
          <w:ilvl w:val="3"/>
          <w:numId w:val="1"/>
        </w:numPr>
        <w:rPr/>
      </w:pPr>
      <w:r>
        <w:rPr/>
        <w:t>ASTM C 348 - Standard Test Method for Flexural Strength of Hydraulic-Cement Mortars.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and/or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DC2EF3_1" w:history="1">
        <w:tooltip>request info (info@maxxon.com) downloads</w:tooltip>
        <w:r>
          <w:rPr>
            <w:rStyle w:val="Hyperlink"/>
            <w:color w:val="802020"/>
            <w:u w:val="single"/>
          </w:rPr>
          <w:t>request info (info@maxxon.com)</w:t>
        </w:r>
      </w:hyperlink>
      <w:r>
        <w:rPr/>
        <w:t>;Web: </w:t>
      </w:r>
      <w:hyperlink r:id="rId_DC2EF3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Cementitious Underlayment: Maxxon Commercial Level EZ Floor Underlayment for Topping Concrete by Maxxon Corp.</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Attributes: No mechanical preparation required in most applications; fast setting, ready for foot traffic in 4 hours; compatible with in-floor radiant heating systems.</w:t>
      </w:r>
    </w:p>
    <w:p w:rsidR="ABFFABFF" w:rsidRDefault="ABFFABFF" w:rsidP="ABFFABFF">
      <w:pPr>
        <w:pStyle w:val="ARCATSubPara"/>
        <w:numPr>
          <w:ilvl w:val="3"/>
          <w:numId w:val="1"/>
        </w:numPr>
        <w:rPr/>
      </w:pPr>
      <w:r>
        <w:rPr/>
        <w:t>Working Time: 15 to 18 minutes.</w:t>
      </w:r>
    </w:p>
    <w:p w:rsidR="ABFFABFF" w:rsidRDefault="ABFFABFF" w:rsidP="ABFFABFF">
      <w:pPr>
        <w:pStyle w:val="ARCATSubPara"/>
        <w:numPr>
          <w:ilvl w:val="3"/>
          <w:numId w:val="1"/>
        </w:numPr>
        <w:rPr/>
      </w:pPr>
      <w:r>
        <w:rPr/>
        <w:t>Coverage at 1/4 inch (6 mm) thickness: 21 sq.ft. (1.9 sq.m.)</w:t>
      </w:r>
    </w:p>
    <w:p w:rsidR="ABFFABFF" w:rsidRDefault="ABFFABFF" w:rsidP="ABFFABFF">
      <w:pPr>
        <w:pStyle w:val="ARCATSubPara"/>
        <w:numPr>
          <w:ilvl w:val="3"/>
          <w:numId w:val="1"/>
        </w:numPr>
        <w:rPr/>
      </w:pPr>
      <w:r>
        <w:rPr/>
        <w:t>Levels: From 1/4 to 2 inches (6 to 51 mm).</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Compliance: Maxxon Sand Specifications 101.</w:t>
      </w:r>
    </w:p>
    <w:p w:rsidR="ABFFABFF" w:rsidRDefault="ABFFABFF" w:rsidP="ABFFABFF">
      <w:pPr>
        <w:pStyle w:val="ARCATSubPara"/>
        <w:numPr>
          <w:ilvl w:val="3"/>
          <w:numId w:val="1"/>
        </w:numPr>
        <w:rPr/>
      </w:pPr>
      <w:r>
        <w:rPr/>
        <w:t>Mix Water: Potable, free from impurities and from a domestic source.</w:t>
      </w:r>
    </w:p>
    <w:p w:rsidR="ABFFABFF" w:rsidRDefault="ABFFABFF" w:rsidP="ABFFABFF">
      <w:pPr>
        <w:pStyle w:val="ARCATParagraph"/>
        <w:numPr>
          <w:ilvl w:val="2"/>
          <w:numId w:val="1"/>
        </w:numPr>
        <w:rPr/>
      </w:pPr>
      <w:r>
        <w:rPr/>
        <w:t>Floor Primer at All Locations: Maxxon Acrylic Sealer.</w:t>
      </w:r>
    </w:p>
    <w:p>
      <w:pPr>
        <w:pStyle w:val="ARCATnote"/>
        <w:rPr/>
      </w:pPr>
      <w:r>
        <w:rPr/>
        <w:t>** NOTE TO SPECIFIER ** Delete vapor mitigation if not required.</w:t>
      </w:r>
    </w:p>
    <w:p w:rsidR="ABFFABFF" w:rsidRDefault="ABFFABFF" w:rsidP="ABFFABFF">
      <w:pPr>
        <w:pStyle w:val="ARCATParagraph"/>
        <w:numPr>
          <w:ilvl w:val="2"/>
          <w:numId w:val="1"/>
        </w:numPr>
        <w:rPr/>
      </w:pPr>
      <w:r>
        <w:rPr/>
        <w:t>Vapor Mitigation: Aquafin Vaportight Coat SG2, SG3 or SG4 as recommended by manufacturer.</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SubPara"/>
        <w:numPr>
          <w:ilvl w:val="3"/>
          <w:numId w:val="1"/>
        </w:numPr>
        <w:rPr/>
      </w:pPr>
      <w:r>
        <w:rPr/>
        <w:t>Fill cracks and voids in subfloor where leakage of slurry could occur.</w:t>
      </w:r>
    </w:p>
    <w:p w:rsidR="ABFFABFF" w:rsidRDefault="ABFFABFF" w:rsidP="ABFFABFF">
      <w:pPr>
        <w:pStyle w:val="ARCATSubPara"/>
        <w:numPr>
          <w:ilvl w:val="3"/>
          <w:numId w:val="1"/>
        </w:numPr>
        <w:rPr/>
      </w:pPr>
      <w:r>
        <w:rPr/>
        <w:t>Prime substrate according to manufacturer's recommendations.</w:t>
      </w:r>
    </w:p>
    <w:p w:rsidR="ABFFABFF" w:rsidRDefault="ABFFABFF" w:rsidP="ABFFABFF">
      <w:pPr>
        <w:pStyle w:val="ARCATSubPara"/>
        <w:numPr>
          <w:ilvl w:val="3"/>
          <w:numId w:val="1"/>
        </w:numPr>
        <w:rPr/>
      </w:pPr>
      <w:r>
        <w:rPr/>
        <w:t>Comply with manufacturer's recommended dry time before installing flooring.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03541 -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6140"
  Type="http://schemas.openxmlformats.org/officeDocument/2006/relationships/image"
  Target="https://www.arcat.com/clients/gfx/maxxon.png"
  TargetMode="External"
/>
<Relationship
  Id="rId_0F3CA1_1"
  Type="http://schemas.openxmlformats.org/officeDocument/2006/relationships/hyperlink"
  Target="https://arcat.com/rfi?action=email&amp;company=Maxxon%252BCorp.&amp;message=RE%253A%2520Spec%2520Question%2520(03541mci)%253A%2520&amp;coid=34073&amp;spec=03541mci&amp;rep=&amp;fax="
  TargetMode="External"
/>
<Relationship
  Id="rId_0F3CA1_2"
  Type="http://schemas.openxmlformats.org/officeDocument/2006/relationships/hyperlink"
  Target="http://www.maxxoncorporation.com"
  TargetMode="External"
/>
<Relationship
  Id="rId_0F3CA1_3"
  Type="http://schemas.openxmlformats.org/officeDocument/2006/relationships/hyperlink"
  Target="https://arcat.com/company/maxxon-corp-34073"
  TargetMode="External"
/>
<Relationship
  Id="rId_DC2EF3_1"
  Type="http://schemas.openxmlformats.org/officeDocument/2006/relationships/hyperlink"
  Target="https://arcat.com/rfi?action=email&amp;company=Maxxon%252BCorp.&amp;message=RE%253A%2520Spec%2520Question%2520(03541mci)%253A%2520&amp;coid=34073&amp;spec=03541mci&amp;rep=&amp;fax="
  TargetMode="External"
/>
<Relationship
  Id="rId_DC2EF3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