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D63104"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3104" descr="https://www.arcat.com/clients/gfx/sherwinw.png"/>
                      <pic:cNvPicPr>
                        <a:picLocks noChangeAspect="1" noChangeArrowheads="1"/>
                      </pic:cNvPicPr>
                    </pic:nvPicPr>
                    <pic:blipFill>
                      <a:blip r:link="rId_D6310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STAINING AND TRANSPARENT FINISHING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http://www.duraseal.com</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Article"/>
        <w:numPr>
          <w:ilvl w:val="1"/>
          <w:numId w:val="1"/>
        </w:numPr>
        <w:rPr/>
      </w:pPr>
      <w:r>
        <w:rPr/>
        <w:t>RELATED SECTIONS. </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8C29F8_1" w:history="1">
        <w:tooltip>request info (specifications@sherwin.com) downloads</w:tooltip>
        <w:r>
          <w:rPr>
            <w:rStyle w:val="Hyperlink"/>
            <w:color w:val="802020"/>
            <w:u w:val="single"/>
          </w:rPr>
          <w:t>request info (specifications@sherwin.com)</w:t>
        </w:r>
      </w:hyperlink>
      <w:r>
        <w:rPr/>
        <w:t>;Web: </w:t>
      </w:r>
      <w:hyperlink r:id="rId_8C29F8_2" w:history="1">
        <w:tooltip>https://www.sherwin-williams.com/architects-specifiers-designers downloads</w:tooltip>
        <w:r>
          <w:rPr>
            <w:rStyle w:val="Hyperlink"/>
            <w:color w:val="802020"/>
            <w:u w:val="single"/>
          </w:rPr>
          <w:t>https://www.sherwin-williams.com/architects-specifiers-designers</w:t>
        </w:r>
      </w:hyperlink>
      <w:r>
        <w:rPr/>
        <w:t> | </w:t>
      </w:r>
      <w:hyperlink r:id="rId_8C29F8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PRODUCT: MASTERLINE WATER-BASED POLYURETHANE FINISH (WATER 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550 VOC Polyurethane., A durable oil modified finish suitable for large volume applications such as Sports Floors, meeting halls, multiple-unit dwellings, and other commercial uses. The product will have a slight ambering or darkening effect when applied over light-colored surfaces. </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 (BUFF AND RE-COAT)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Previously Finished Floors: Do not apply over floors previously finished with shellac, lacquer, wax, stains containing stearates, or finishes in very poor condition in need of complete removal.</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as to not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rsidR="ABFFABFF" w:rsidRDefault="ABFFABFF" w:rsidP="ABFFABFF">
      <w:pPr>
        <w:pStyle w:val="ARCATArticle"/>
        <w:numPr>
          <w:ilvl w:val="1"/>
          <w:numId w:val="1"/>
        </w:numPr>
        <w:rPr/>
      </w:pPr>
      <w:r>
        <w:rPr/>
        <w:t>APPLICATION</w:t>
      </w:r>
    </w:p>
    <w:p>
      <w:pPr>
        <w:pStyle w:val="ARCATnote"/>
        <w:rPr/>
      </w:pPr>
      <w:r>
        <w:rPr/>
        <w:t>** NOTE TO SPECIFIER ** Delete paragraph if not required or delete floor types not required.</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Masterline Polyurethane Finish 550 VOC (Oil Modified):</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repeat the buffing process outlined in Article 3.2, Paragraph B-1 and apply second 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3104"
  Type="http://schemas.openxmlformats.org/officeDocument/2006/relationships/image"
  Target="https://www.arcat.com/clients/gfx/sherwinw.png"
  TargetMode="External"
/>
<Relationship
  Id="rId_8C29F8_1"
  Type="http://schemas.openxmlformats.org/officeDocument/2006/relationships/hyperlink"
  Target="https://arcat.com/rfi?action=email&amp;company=Sherwin-Williams&amp;message=RE%253A%2520Spec%2520Question%2520(09930dsl)%253A%2520&amp;coid=35477&amp;spec=09930dsl&amp;rep=&amp;fax=216-566-1392"
  TargetMode="External"
/>
<Relationship
  Id="rId_8C29F8_2"
  Type="http://schemas.openxmlformats.org/officeDocument/2006/relationships/hyperlink"
  Target="https://www.sherwin-williams.com/architects-specifiers-designers"
  TargetMode="External"
/>
<Relationship
  Id="rId_8C29F8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