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barrett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8EC00F" descr="https://www.arcat.com/clients/gfx/barret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8EC00F" descr="https://www.arcat.com/clients/gfx/barrett.png"/>
                      <pic:cNvPicPr>
                        <a:picLocks noChangeAspect="1" noChangeArrowheads="1"/>
                      </pic:cNvPicPr>
                    </pic:nvPicPr>
                    <pic:blipFill>
                      <a:blip r:link="rId_8EC00F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18 00</w:t>
      </w:r>
    </w:p>
    <w:p>
      <w:pPr>
        <w:pStyle w:val="ARCATTitle"/>
        <w:jc w:val="center"/>
        <w:rPr/>
      </w:pPr>
      <w:r>
        <w:rPr/>
        <w:t>TRAFFIC COATINGS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Barrett Company ; hot fluid-applied rubberized asphalt waterproofing.</w:t>
      </w:r>
      <w:r>
        <w:rPr/>
        <w:br/>
        <w:t>This section is based on the products of Barrett Company , which is located at:</w:t>
      </w:r>
      <w:r>
        <w:rPr/>
        <w:br/>
        <w:t>2926 Chester Ave. </w:t>
      </w:r>
      <w:r>
        <w:rPr/>
        <w:br/>
        <w:t>Cleveland, OH 44114</w:t>
      </w:r>
      <w:r>
        <w:rPr/>
        <w:br/>
        <w:t>Toll Free Tel: 800-647-0100</w:t>
      </w:r>
      <w:r>
        <w:rPr/>
        <w:br/>
        <w:t>Tel: 908-647-0100</w:t>
      </w:r>
      <w:r>
        <w:rPr/>
        <w:br/>
        <w:t>Fax: 908-647-0278</w:t>
      </w:r>
      <w:r>
        <w:rPr/>
        <w:br/>
        <w:t>Email: </w:t>
      </w:r>
      <w:hyperlink r:id="rId_CFD7A8_1" w:history="1">
        <w:tooltip>request info (info@barrettroofs.com) downloads</w:tooltip>
        <w:r>
          <w:rPr>
            <w:rStyle w:val="Hyperlink"/>
            <w:color w:val="802020"/>
            <w:u w:val="single"/>
          </w:rPr>
          <w:t>request info (info@barrettroofs.com)</w:t>
        </w:r>
      </w:hyperlink>
      <w:r>
        <w:rPr/>
        <w:t/>
      </w:r>
      <w:r>
        <w:rPr/>
        <w:br/>
        <w:t>Web: </w:t>
      </w:r>
      <w:hyperlink r:id="rId_CFD7A8_2" w:history="1">
        <w:tooltip>http://www.barrettroofs.com downloads</w:tooltip>
        <w:r>
          <w:rPr>
            <w:rStyle w:val="Hyperlink"/>
            <w:color w:val="802020"/>
            <w:u w:val="single"/>
          </w:rPr>
          <w:t>http://www.barrettroofs.com</w:t>
        </w:r>
      </w:hyperlink>
      <w:r>
        <w:rPr/>
        <w:t>  </w:t>
      </w:r>
      <w:r>
        <w:rPr/>
        <w:br/>
        <w:t> [ </w:t>
      </w:r>
      <w:hyperlink r:id="rId_CFD7A8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For over 10 decades the Barrett Company has had hands-on experience, professionally engineered products, and systems in the high-performance roofing and waterproofing markets.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Hybrid polyurea and polyurethane trafficable deck coating.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Two-component solvenated epoxy-polyamine primer.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14 16 - Cold Fluid-Applied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 -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72 13 - Manufactured Curbs.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C579 - Standard Test Methods for Compressive Strength of Chemical-Resistant Mortars, Grouts, Monolithic Surfacings, and Polymer Concretes.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C836 - Standard Specification for High Solids Content, Cold Liquid-Applied Elastomeric Waterproofing Membrane for Use with Separate Wearing Course.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C957 - Standard Specification for High-Solids Content, Cold Liquid-Applied Elastomeric Waterproofing Membrane With Integral Wearing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D412 - Standard Test Methods for Vulcanized Rubber and Thermoplastic Elastomers - 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D470 - Standard Test Methods for Crosslinked Insulations and Jackets for Wire and Cable.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D624 - Standard Test Method for Tear Strength of Conventional Vulcanized Rubber and Thermoplastic Elastomers.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D2240 - Standard Test Method for Rubber Property - Durometer Hardness.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D2369 - Standard Test Method for Volatile Content of Coatings.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D2697 - Standard Test Method for Volume Nonvolatile Matter in Clear or Pigmented Coatings.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Methods for Gravimetric Determination of Water Vapor Transmission Rate of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Miami Dade County, Florida.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South Coast Air Quality Management District (SCAQMD).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 Department of Agriculture (USDA).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Barrett Company, which is located at: 2926 Chester Ave.; Cleveland, OH 44114; ASD Toll Free: 800-647-0100; Phone: 908-647-0100; Email: ________; Web: www.barrettroofs.com.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HYBRID POLYUREA AND POLYURETHANE TRAFFICABLE DECK COATING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Compliance: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C836.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E96.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SMAQMD VOC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Volume: 95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Pot Life at 75 degrees F (24 degrees C) and 50 percent RH: 9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Tack Free Time: 3 to 4 hours.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Hardness, ASTM D2240, Shore A: 80 plus or minus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Tensile Strength, ASTM D412: 2500 psi (17,200 kPa) plus or minus 100 psi (689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Elongation, ASTM D412: 800 percent plus or minus 100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Tear, ASTM D624: 300 pli (52,500 N/m) plus or minus 25 pli (9100 N/m).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 Tear, ASTM D470: 100 pli (17,500 N/m) plus or minus 10 pli (1750 N/m).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VOC Content, ASTM D2369: 0.49 lb/gal (59 g/L).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Application Temperature: 20 degrees F (minus 6.7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HyppoCoat100; as manufactured by Barrett Company.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Description: An aliphatic two component, fast-setting, rapid-curing, solvent-free, high-performance, and high-solids polyurea/urethane polymer waterproof coating that can be utilized suitably for heavy-duty wearing surface applications on prepared interior or exterior concrete, plywood and metal surfaces.</w:t>
      </w:r>
    </w:p>
    <w:p>
      <w:pPr>
        <w:pStyle w:val="ARCATnote"/>
        <w:rPr/>
      </w:pPr>
      <w:r>
        <w:rPr/>
        <w:t>** NOTE TO SPECIFIER ** Delete dry film thickness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36 mil (0.91 mm). Light pedestrian.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48 mil (1.2 mm). Heavy pedestrian.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55 mil (0.91 mm). Vehicular.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65 mil (1.2 mm). Heavy vehicular traffic.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Applied at any thickness in one application.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weathering.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Seamless.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Non-gassing.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Fast curing.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dirt attraction.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Good thermal stability.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Highly flexible over extreme temperatures.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low temperature flexibility.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odor.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Recoatable.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SCAQMD VOC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TWO-COMPONENT SOLVENATED EPOXY-POLYAMINE PRIMER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Compliance: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C579.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ASTM C957.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 Dade County approved.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USDA criteria.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Pot Life at 75 degrees F (24 degrees C) and 50 percent RH: 75 minutes plus or minus 15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Relative Density, Part A: 1.27 plus or minus 0.1.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Relative Density, Part B: 1.85 plus or minus 0.1.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Volume, ASTM D2369: 90 percent plus or minus 2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Solids by Weight, ASTM D2697: 84 percent plus or minus 2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VOC Content, ASTM D2369: 0.75 lb/gal (90 g/L).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HyppoCoat PC; as manufactured by Barrett Company.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Viscosity at 75 degrees F (24 degrees C): 600 plus or minus 50.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Description: A two component, solvenated, epoxy-polyamine liquid-applied primer with unique penetrating characteristics.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 Film Thickness: 4 mil (0.10 mm) plus or minus 1 mil (0.025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Excellent adhesion.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Low viscosity.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Seals concrete.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Flood Test: Each contiguous area shall be water tested with 2 inches (51 mm) of standing water for a 48 hour period.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for overflow in the event of rain.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Flood tests shall be witnessed and approved by Architect and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electric field vector mapping may be used in lieu of the flood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Correct any deficiencies in the membrane, if any, as prescribed by material Manufacturer and approved by the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18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8EC00F"
  Type="http://schemas.openxmlformats.org/officeDocument/2006/relationships/image"
  Target="https://www.arcat.com/clients/gfx/barrett.png"
  TargetMode="External"
/>
<Relationship
  Id="rId_CFD7A8_1"
  Type="http://schemas.openxmlformats.org/officeDocument/2006/relationships/hyperlink"
  Target="https://arcat.com/rfi?action=email&amp;company=Barrett%252BCompany%252B&amp;message=RE%253A%2520Spec%2520Question%2520(07180bcr)%253A%2520&amp;coid=30815&amp;spec=07180bcr&amp;rep=&amp;fax=908-647-0278"
  TargetMode="External"
/>
<Relationship
  Id="rId_CFD7A8_2"
  Type="http://schemas.openxmlformats.org/officeDocument/2006/relationships/hyperlink"
  Target="http://www.barrettroofs.com"
  TargetMode="External"
/>
<Relationship
  Id="rId_CFD7A8_3"
  Type="http://schemas.openxmlformats.org/officeDocument/2006/relationships/hyperlink"
  Target="https://arcat.com/company/barrett-company-3081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