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505095"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5095" descr="https://www.arcat.com/clients/gfx/entolmfg.png"/>
                      <pic:cNvPicPr>
                        <a:picLocks noChangeAspect="1" noChangeArrowheads="1"/>
                      </pic:cNvPicPr>
                    </pic:nvPicPr>
                    <pic:blipFill>
                      <a:blip r:link="rId_50509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w:t>
      </w:r>
      <w:r>
        <w:rPr/>
        <w:br/>
        <w:t>135 Wendell Ave.</w:t>
      </w:r>
      <w:r>
        <w:rPr/>
        <w:br/>
        <w:t>North York, ON, Canada M9N 3K9</w:t>
      </w:r>
      <w:r>
        <w:rPr/>
        <w:br/>
        <w:t>Tel: 647-748-3037</w:t>
      </w:r>
      <w:r>
        <w:rPr/>
        <w:br/>
        <w:t>Email: </w:t>
      </w:r>
      <w:hyperlink r:id="rId_952D5F_1" w:history="1">
        <w:tooltip>request info (sales@ceilings4u.com) downloads</w:tooltip>
        <w:r>
          <w:rPr>
            <w:rStyle w:val="Hyperlink"/>
            <w:color w:val="802020"/>
            <w:u w:val="single"/>
          </w:rPr>
          <w:t>request info (sales@ceilings4u.com)</w:t>
        </w:r>
      </w:hyperlink>
      <w:r>
        <w:rPr/>
        <w:t/>
      </w:r>
      <w:r>
        <w:rPr/>
        <w:br/>
        <w:t>Web: </w:t>
      </w:r>
      <w:hyperlink r:id="rId_952D5F_2" w:history="1">
        <w:tooltip>https://www.ceilings4u.com downloads</w:tooltip>
        <w:r>
          <w:rPr>
            <w:rStyle w:val="Hyperlink"/>
            <w:color w:val="802020"/>
            <w:u w:val="single"/>
          </w:rPr>
          <w:t>https://www.ceilings4u.com</w:t>
        </w:r>
      </w:hyperlink>
      <w:r>
        <w:rPr/>
        <w:t>  </w:t>
      </w:r>
      <w:r>
        <w:rPr/>
        <w:br/>
        <w:t> [ </w:t>
      </w:r>
      <w:hyperlink r:id="rId_952D5F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w:t>
      </w:r>
      <w:r>
        <w:rPr/>
        <w:br/>
        <w:t>135 Wendell Ave.</w:t>
      </w:r>
      <w:r>
        <w:rPr/>
        <w:br/>
        <w:t>North York, ON, Canada M9N 3K9</w:t>
      </w:r>
      <w:r>
        <w:rPr/>
        <w:br/>
        <w:t>Tel: 647-748-3037</w:t>
      </w:r>
      <w:r>
        <w:rPr/>
        <w:br/>
        <w:t>Email: </w:t>
      </w:r>
      <w:hyperlink r:id="rId_7550CF_1" w:history="1">
        <w:tooltip>request info (sales@ceilings4u.com) downloads</w:tooltip>
        <w:r>
          <w:rPr>
            <w:rStyle w:val="Hyperlink"/>
            <w:color w:val="802020"/>
            <w:u w:val="single"/>
          </w:rPr>
          <w:t>request info (sales@ceilings4u.com)</w:t>
        </w:r>
      </w:hyperlink>
      <w:r>
        <w:rPr/>
        <w:t>;Web: </w:t>
      </w:r>
      <w:hyperlink r:id="rId_7550CF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5095"
  Type="http://schemas.openxmlformats.org/officeDocument/2006/relationships/image"
  Target="https://www.arcat.com/clients/gfx/entolmfg.png"
  TargetMode="External"
/>
<Relationship
  Id="rId_952D5F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952D5F_2"
  Type="http://schemas.openxmlformats.org/officeDocument/2006/relationships/hyperlink"
  Target="https://www.ceilings4u.com"
  TargetMode="External"
/>
<Relationship
  Id="rId_952D5F_3"
  Type="http://schemas.openxmlformats.org/officeDocument/2006/relationships/hyperlink"
  Target="https://arcat.com/company/ceilings4u-entol-50647"
  TargetMode="External"
/>
<Relationship
  Id="rId_7550CF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7550CF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