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cityscapes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2A92CD" descr="https://www.arcat.com/clients/gfx/cityscape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2A92CD" descr="https://www.arcat.com/clients/gfx/cityscapes.png"/>
                      <pic:cNvPicPr>
                        <a:picLocks noChangeAspect="1" noChangeArrowheads="1"/>
                      </pic:cNvPicPr>
                    </pic:nvPicPr>
                    <pic:blipFill>
                      <a:blip r:link="rId_2A92C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32 35 00</w:t>
      </w:r>
    </w:p>
    <w:p>
      <w:pPr>
        <w:pStyle w:val="ARCATTitle"/>
        <w:jc w:val="center"/>
        <w:rPr/>
      </w:pPr>
      <w:r>
        <w:rPr/>
        <w:t>SITE SCREENING DEVICES</w:t>
      </w:r>
    </w:p>
    <w:p>
      <w:pPr>
        <w:pStyle w:val="ARCATTitle"/>
        <w:jc w:val="center"/>
        <w:rPr/>
      </w:pPr>
      <w:r>
        <w:rPr/>
        <w:t>COVRIT ROOFED ENCLOSURES BY CITYSCAPES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2023 - 2026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CityScapes International Inc.; Screens and Enclosures.</w:t>
      </w:r>
      <w:r>
        <w:rPr/>
        <w:br/>
        <w:t>This section is based on the products of CityScapes International Inc., which is located at:</w:t>
      </w:r>
      <w:r>
        <w:rPr/>
        <w:br/>
        <w:t>4200 Lyman Ct.</w:t>
      </w:r>
      <w:r>
        <w:rPr/>
        <w:br/>
        <w:t>Hilliard, OH 43026</w:t>
      </w:r>
      <w:r>
        <w:rPr/>
        <w:br/>
        <w:t>Toll Free Tel: 877-SCREENS</w:t>
      </w:r>
      <w:r>
        <w:rPr/>
        <w:br/>
        <w:t>Tel: 614-850-2549</w:t>
      </w:r>
      <w:r>
        <w:rPr/>
        <w:br/>
        <w:t>Fax: 800-726-4817</w:t>
      </w:r>
      <w:r>
        <w:rPr/>
        <w:br/>
        <w:t>Email: </w:t>
      </w:r>
      <w:hyperlink r:id="rId_76A1D5_1" w:history="1">
        <w:tooltip>request info (jhollins@cityscapesinc.com) downloads</w:tooltip>
        <w:r>
          <w:rPr>
            <w:rStyle w:val="Hyperlink"/>
            <w:color w:val="802020"/>
            <w:u w:val="single"/>
          </w:rPr>
          <w:t>request info (jhollins@cityscapesinc.com)</w:t>
        </w:r>
      </w:hyperlink>
      <w:r>
        <w:rPr/>
        <w:t/>
      </w:r>
      <w:r>
        <w:rPr/>
        <w:br/>
        <w:t>Web: </w:t>
      </w:r>
      <w:hyperlink r:id="rId_76A1D5_2" w:history="1">
        <w:tooltip>https://cityscapesinc.com downloads</w:tooltip>
        <w:r>
          <w:rPr>
            <w:rStyle w:val="Hyperlink"/>
            <w:color w:val="802020"/>
            <w:u w:val="single"/>
          </w:rPr>
          <w:t>https://cityscapesinc.com</w:t>
        </w:r>
      </w:hyperlink>
      <w:r>
        <w:rPr/>
        <w:t>  </w:t>
      </w:r>
      <w:r>
        <w:rPr/>
        <w:br/>
        <w:t> [ </w:t>
      </w:r>
      <w:hyperlink r:id="rId_76A1D5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CityScapes has been an industry leader in architectural innovations since 2004. We began with our flagship product, Envisor, a patented HVAC Screening system that meets municipal code line-of-sight requirements with no roof membrane disruption. CityScapes has expanded its scope to add new product lines that combine screening, security, and aesthetics. Our offerings include:</w:t>
      </w:r>
      <w:r>
        <w:rPr/>
        <w:br/>
        <w:t>- Envisor Unit Attached Rooftop Screens</w:t>
      </w:r>
      <w:r>
        <w:rPr/>
        <w:br/>
        <w:t>- Envisor Z-Fin and post-mounted screening,</w:t>
      </w:r>
      <w:r>
        <w:rPr/>
        <w:br/>
        <w:t>- Covrit Ground Screening and Roofed Enclosures</w:t>
      </w:r>
      <w:r>
        <w:rPr/>
        <w:br/>
        <w:t>- ToughGate and MegaGate</w:t>
      </w:r>
      <w:r>
        <w:rPr/>
        <w:br/>
        <w:t>- Marquee Canopies and Awnings</w:t>
      </w:r>
      <w:r>
        <w:rPr/>
        <w:br/>
        <w:t>- NatureScreen Trellises and Planters</w:t>
      </w:r>
      <w:r>
        <w:rPr/>
        <w:br/>
        <w:t>- Custom fabrication solutions</w:t>
      </w:r>
      <w:r>
        <w:rPr/>
        <w:br/>
        <w:t>All CityScapes products are Build America, Buy America Act (BABAA) certified and constructed at our 180,000 square foot manufacturing facility in central Ohio. Design, engineering, manufacturing, and installation - our team handles it all.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Site enclosures with roofs.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Site screening devices. Modular and pre-formed panels and support framing for site screening including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Plankwall PVC (Polyvinyl Chloride).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PlankArt PVC planks with printed content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Powder coated metal.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Painted metal.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Natural 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Operable access gates.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01 23 00 - Alternates. For direction regarding bidding of screens as alternates.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90 00 - Touch-up painting required for scratches and screw heads and field painting of prime painted screens.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text. Alternates: For direction regarding bidding of screens as alternates.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Society for Testing and Materials (ASTM):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A563 - Standard Specification for Carbon and Alloy Steel Nuts (Inch and Metric).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B209 - Aluminum and Aluminum Alloy Sheets and Plates.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B221 - Aluminum and Aluminum Alloy Extruded Bars, Rods, Wire Profiles, and Tubes.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F436 - Standard Specification for Hardened Steel Washers Inch and Metric Dimensions.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F1554 - Standard Specification for Anchor Bolts, Steel, 36, 55, and 105-ksi Yield Strength.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The Aluminum Association, Inc. (AA): AA ADM - Aluminum Design Manual.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Society of Civil Engineers (ASCE): ASCE 7 - Minimum Design Loads for Buildings and Other Structures.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panel type.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 Selection: Submit paint chart with full range of colors available for client's selection. Custom color samples available upon purchase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Prior to commencement of fabrication, submit detailed shop drawings, showing profiles, sections of components, finishes, and fastening details. Include plan elevation pages to clearly outline screenwall or enclosure locations.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Color Charts: Color charts showing manufacturer's full range of colors from standard line.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Closeout Submittals: Warranty documents, issued and executed by manufacturer, countersigned by Contractor.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two (2)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(2)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Delivery: Deliver materials to site in manufacturer's original, unopened containers and packaging, with labels clearly indicating manufacturer and material.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Storage and Handling: Protect materials and finishes during handling and installation to prevent damage.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Protection: 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Measurements: Take measurements of supporting paving, footings, or piers. Indicate measurements on shop drawings fully documenting any field condition that may interfere with the screen system installation.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COORDINATION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for work under this Section shall be responsible for coordination of panel and framing sizes and required options with the Contractor's requirements.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Request information on sizes and options required from the Contractor.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shop drawings and obtain written approval of shop drawing prior to fabrication.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Confirm size, type, and location of supporting construction as adequate to resist column supports.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Warranty: Provide manufacturer's standard limited three (3) year warranty, starting from the date of substantial completion of the project.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CityScapes International Inc., which is located at:</w:t>
      </w:r>
      <w:r>
        <w:rPr/>
        <w:br/>
        <w:t>4200 Lyman Ct.</w:t>
      </w:r>
      <w:r>
        <w:rPr/>
        <w:br/>
        <w:t>Hilliard, OH 43026</w:t>
      </w:r>
      <w:r>
        <w:rPr/>
        <w:br/>
        <w:t>Toll Free Tel: 877-SCREENS</w:t>
      </w:r>
      <w:r>
        <w:rPr/>
        <w:br/>
        <w:t>Tel: 614-850-2549</w:t>
      </w:r>
      <w:r>
        <w:rPr/>
        <w:br/>
        <w:t>Fax: 800-726-4817</w:t>
      </w:r>
      <w:r>
        <w:rPr/>
        <w:br/>
        <w:t>Email: </w:t>
      </w:r>
      <w:hyperlink r:id="rId_EE818B_1" w:history="1">
        <w:tooltip>request info (jhollins@cityscapesinc.com) downloads</w:tooltip>
        <w:r>
          <w:rPr>
            <w:rStyle w:val="Hyperlink"/>
            <w:color w:val="802020"/>
            <w:u w:val="single"/>
          </w:rPr>
          <w:t>request info (jhollins@cityscapesinc.com)</w:t>
        </w:r>
      </w:hyperlink>
      <w:r>
        <w:rPr/>
        <w:t>;Web: </w:t>
      </w:r>
      <w:hyperlink r:id="rId_EE818B_2" w:history="1">
        <w:tooltip>https://cityscapesinc.com downloads</w:tooltip>
        <w:r>
          <w:rPr>
            <w:rStyle w:val="Hyperlink"/>
            <w:color w:val="802020"/>
            <w:u w:val="single"/>
          </w:rPr>
          <w:t>https://cityscapesinc.com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AND DESIGN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Regulatory Requirements: Comply with requirements of building authorities having jurisdiction in Project location.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Design Criteria: Manufacturer is responsible for the structural design of all materials, assembly, and attachments to resist snow, wind, suction and uplift loading at any point without damage or permanent set.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Framing: Designed in accordance with the Aluminum Design Manual to resist the following loading: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ASCE 7 - Minimum Design Loads for Buildings and Other Structures; American Society of Civil Engineers.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 - CORVIT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Corvit Roofed Enclosures as manufactured by CityScapes.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Paneling: To be selected by client from Manufacturer's standard panel selections.</w:t>
      </w:r>
    </w:p>
    <w:p>
      <w:pPr>
        <w:pStyle w:val="ARCATnote"/>
        <w:rPr/>
      </w:pPr>
      <w:r>
        <w:rPr/>
        <w:t>** NOTE TO SPECIFIER ** Delete paneling options not required.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Plankwall, PVC (Polyvinyl Chloride).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PlankArt PVC planks with printed content.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Sheets: Powder coated.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Extruded Shapes: Powder coated.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Aluminum Extruded Sheets: Painted.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Natural Wood infill.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Operable Access Gates: To be selected by client from Manufacturer's standard selections.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Framing: Aluminum Plates, Shapes and Bars: ASTM B221, alloy 3003-H14, 6005-T5, 6061-T5, 6061-T6 or 6063-T5.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Roof System: Aluminum Plates, Shapes and Bars: ASTM B221, alloy 6061-T6, 6063-T52, 3003-H14, 6063-T6, or 3004-H36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Wall and Gate Infill: Woodgrain Cellular PVC or ASTM B221, alloy 3003-H14 or 6063-T6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Threaded Fasteners: Screws, bolts, nut and washers to be zinc plated or stainless steel.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Bolts: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Carbon and Alloy Steel Nuts: ASTM A563.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Carbon Steel Washers: ASTM F436.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Carbon Steel Threaded Rod: ASTM F1554 grade 55, zinc-plated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Epoxy HILTI HVU2 or Epoxy HILTI HIT-HY 270.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Factory-Formed Panel Systems: Continuous interlocking panel connections and indicated or necessary components.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Form components true to shape, accurate in size, square and free from distortion or defects. Cut panels to precise lengths indicated on approved shop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Fabricate products in accordance with Contractor approved shop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Framing: Fabricate and assemble components in largest practical sizes, for delivery to the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Construct corner assemblies to required shape with joints tightly fitted.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Supply components required for anchorage of framing. Fabricate anchors and related components of material and finish as required, or as specifically noted.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Gate Hardware: Provide manufacturer's adjustable standard of size required to fit support pipe provided.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Framing: Manufacturer's standard powder coating system, factory applied.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Panel Coating: Manufacturer's standard powder coating system, factory applied.</w:t>
      </w:r>
    </w:p>
    <w:p>
      <w:pPr>
        <w:pStyle w:val="ARCATnote"/>
        <w:rPr/>
      </w:pPr>
      <w:r>
        <w:rPr/>
        <w:t>** NOTE TO SPECIFIER ** Delete color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Selected from full range of manufacturer's standard colors.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Color: Custom color paint as selected and approved by client.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Installer's Examination: Examine conditions under which construction activities of this section are to be performed.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Submit written notification to client and Screen manufacturer if such conditions are unacceptable.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Beginning erection constitutes installer's acceptance of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 FOR CORVIT PRODUCTS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units in accordance with the manufacturer's instructions and approved shop drawings. Keep perimeter lines straight, plumb, and level. Provide brackets, anchors, and accessories necessary for complete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 structural supports to/into paving, footings, or piers at spacing as indicated on approved shop drawings.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Where aluminum materials would contact dissimilar materials, insert rubber grommets at attachment points, thus eliminating where dissimilar metals would otherwise be in contact.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cut or abrade finishes which cannot be restored. Return items with such finishes to shop for required alterations.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ERECTION TOLERANCES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Tolerances: Maximum misalignment from true position 1/4 inch (6 mm).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Remove all protective masking from material immediately after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Protection: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Ensure that finishes and structure of installed systems are not damaged by subsequent construction activities.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minor damage to finishes occurs, repair damage in accordance with manufacturer's recommendations; provide replacement components if repaired finishes are unacceptable to client.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Prior to Substantial Completion: Remove dust or other foreign matter from component surfaces; clean finishes in accordance with manufacturer's instructions.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32 35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2A92CD"
  Type="http://schemas.openxmlformats.org/officeDocument/2006/relationships/image"
  Target="https://www.arcat.com/clients/gfx/cityscapes.png"
  TargetMode="External"
/>
<Relationship
  Id="rId_76A1D5_1"
  Type="http://schemas.openxmlformats.org/officeDocument/2006/relationships/hyperlink"
  Target="https://arcat.com/rfi?action=email&amp;company=CityScapes%252BInternational%252BInc.&amp;message=RE%253A%2520Spec%2520Question%2520(02860css)%253A%2520&amp;coid=40042&amp;spec=02860css&amp;rep=&amp;fax=800-726-4817"
  TargetMode="External"
/>
<Relationship
  Id="rId_76A1D5_2"
  Type="http://schemas.openxmlformats.org/officeDocument/2006/relationships/hyperlink"
  Target="https://cityscapesinc.com"
  TargetMode="External"
/>
<Relationship
  Id="rId_76A1D5_3"
  Type="http://schemas.openxmlformats.org/officeDocument/2006/relationships/hyperlink"
  Target="https://arcat.com/company/cityscapes-international-inc-40042"
  TargetMode="External"
/>
<Relationship
  Id="rId_EE818B_1"
  Type="http://schemas.openxmlformats.org/officeDocument/2006/relationships/hyperlink"
  Target="https://arcat.com/rfi?action=email&amp;company=CityScapes%252BInternational%252BInc.&amp;message=RE%253A%2520Spec%2520Question%2520(02860css)%253A%2520&amp;coid=40042&amp;spec=02860css&amp;rep=&amp;fax=800-726-4817"
  TargetMode="External"
/>
<Relationship
  Id="rId_EE818B_2"
  Type="http://schemas.openxmlformats.org/officeDocument/2006/relationships/hyperlink"
  Target="https://cityscapesinc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