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fiberon.png&quot; \* MERGEFORMAT \d  \x \y">
        <w:r>
          <w:drawing>
            <wp:inline distT="0" distB="0" distL="0" distR="0">
              <wp:extent cx="3810000" cy="1905000"/>
              <wp:effectExtent l="0" t="0" r="0" b="0"/>
              <wp:docPr id="1" name="Picture rId_3C49FA" descr="https://www.arcat.com/clients/gfx/fiberon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3C49FA" descr="https://www.arcat.com/clients/gfx/fiberon.png"/>
                      <pic:cNvPicPr>
                        <a:picLocks noChangeAspect="1" noChangeArrowheads="1"/>
                      </pic:cNvPicPr>
                    </pic:nvPicPr>
                    <pic:blipFill>
                      <a:blip r:link="rId_3C49FA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905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06 73 00</w:t>
      </w:r>
    </w:p>
    <w:p>
      <w:pPr>
        <w:pStyle w:val="ARCATTitle"/>
        <w:jc w:val="center"/>
        <w:rPr/>
      </w:pPr>
      <w:r>
        <w:rPr/>
        <w:t>COMPOSITE DECKING - POLYETHYLENE (PE)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2025 - 2025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Fiberon,  LLC; Founded in New London, North Carolina in 1997, Fiberon built its business selling high-quality, eco-friendly composite decking, railing and fencing. Today we have grown and added Wildwood Composite Cladding to our product offerings.</w:t>
      </w:r>
      <w:r>
        <w:rPr/>
        <w:br/>
        <w:t>This section is based on the products of Fiberon,  LLC, which is located at:</w:t>
      </w:r>
      <w:r>
        <w:rPr/>
        <w:br/>
        <w:t>1 Horizon Way</w:t>
      </w:r>
      <w:r>
        <w:rPr/>
        <w:br/>
        <w:t>Deerfield, IL 60015</w:t>
      </w:r>
      <w:r>
        <w:rPr/>
        <w:br/>
        <w:t>Toll Free Tel: 800-843-7628</w:t>
      </w:r>
      <w:r>
        <w:rPr/>
        <w:br/>
        <w:t>Email: </w:t>
      </w:r>
      <w:hyperlink r:id="rId_24C03F_1" w:history="1">
        <w:tooltip>request info (info@fiberoncladding.com) downloads</w:tooltip>
        <w:r>
          <w:rPr>
            <w:rStyle w:val="Hyperlink"/>
            <w:color w:val="802020"/>
            <w:u w:val="single"/>
          </w:rPr>
          <w:t>request info (info@fiberoncladding.com)</w:t>
        </w:r>
      </w:hyperlink>
      <w:r>
        <w:rPr/>
        <w:t/>
      </w:r>
      <w:r>
        <w:rPr/>
        <w:br/>
        <w:t>Web: </w:t>
      </w:r>
      <w:hyperlink r:id="rId_24C03F_2" w:history="1">
        <w:tooltip>https://www.fiberoncladding.com downloads</w:tooltip>
        <w:r>
          <w:rPr>
            <w:rStyle w:val="Hyperlink"/>
            <w:color w:val="802020"/>
            <w:u w:val="single"/>
          </w:rPr>
          <w:t>https://www.fiberoncladding.com</w:t>
        </w:r>
      </w:hyperlink>
      <w:r>
        <w:rPr/>
        <w:t>  </w:t>
      </w:r>
      <w:r>
        <w:rPr/>
        <w:br/>
        <w:t> [ </w:t>
      </w:r>
      <w:hyperlink r:id="rId_24C03F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information.Click Here.</w:t>
      </w:r>
      <w:r>
        <w:rPr/>
        <w:br/>
        <w:t>The Beauty of Wood meets Advanced Composite Technology.</w:t>
      </w:r>
      <w:r>
        <w:rPr/>
        <w:br/>
        <w:t>- Long-lasting, maintenance-free, sustainable alternative to traditional wood cladding.</w:t>
      </w:r>
      <w:r>
        <w:rPr/>
        <w:br/>
        <w:t>- Backed by a 50-year warranty covering stain, fade and performance.</w:t>
      </w:r>
      <w:r>
        <w:rPr/>
        <w:br/>
        <w:t>- Priced competitively to wood and costs less than most rainforest wood cladding or engineered cladding products.</w:t>
      </w:r>
      <w:r>
        <w:rPr/>
        <w:br/>
        <w:t>- Durable composite core ensures exceptional resistance to rotting, cracking, insects and decay.</w:t>
      </w:r>
      <w:r>
        <w:rPr/>
        <w:br/>
        <w:t>- Available in a variety of board lengths and widths for more design solutions.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Polyethylene (PE) Composite Decking.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Deck Fastening System.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Accessories.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03 30 00 - Cast-in-Place Concrete.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04 20 00 - Unit Masonry.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05 40 00 - Cold-Formed Metal Framing.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20 13 - Exterior Finish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62 00 - Sheet Metal Flashing and Trim.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96 00 - High Performance Coatings.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D1037 - Standard Test Methods for Evaluating Properties of Wood-Base Fiber and Particle Panel Materials; 2012 (Reapproved 2020).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D1413 - Standard Test Method for Wood Preservatives by Laboratory Soil-Block Cultures; 2007.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D3345 - Standard Test Method for Laboratory Evaluation of Wood for Resistance to Subterranean Termites; 2022.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D6109 - Standard Test Methods for Flexural Properties of Unreinforced and Reinforced Plastic Lumber and Related Products; 2024.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D6341 - Standard Test Method for Determination of the Linear Coefficient of Thermal Expansion of Plastic Lumber and Plastic Lumber Shapes Between -30 and 140 degrees F (-34.4 and 60 degrees C); 2021.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D7032 - Standard Specification for Establishing Performance Ratings for Wood-Plastic Composite and Plastic Lumber Deck Boards, Stair Treads, Guards, and Handrails; 2021.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E84 - Standard Test Method for Surface Burning Characteristics of Building Materials; 2020.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E330/E330M - Standard Test Method for Structural Performance of Exterior Windows, Doors, Skylights and Curtain Walls by Uniform Static Air Pressure Difference; 2014 (Reapproved 2021).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F1679 - Standard Test Method for Using a Variable Incidence Tribometer (VIT); 2004.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 European Standards (EN):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EN 438-2 - High-pressure decorative laminates (HPL) - Sheets based on thermosetting resins (usually called laminates) - Part 2: Determination of properties; 2016.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EN 13329 - Laminate floor coverings - Elements with a surface layer based on aminoplastic thermosetting resins - Specifications, requirements and test methods; 2021.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ICC Evaluation Service (ICC-ES):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ICC-ES AC174 - Acceptance Criteria for Deck Board Span Ratings and Guardrail Systems (Guard and Handrails); 2012, with Editorial Revision (2021).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Delivery, storage,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Maintenance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Submit two 12 x 12 inch (304.80 x 304.80 mm) samples of each type, size, texture, and color.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 to Include: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Dimensioned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Elevations.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Load Capacities.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Construction Details.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Location of Members.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Substrate Construction.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 and Profiles.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Structural Design Data.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Framed Openings.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Decking Texture.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Attachments.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Connections.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Accessories.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Delegated Design: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signed and sealed drawings in compliance with the requirements of the Authorities Having Jurisdiction.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Test reports in accordance with ICC-ES-AC174.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Designer's Qualification Statement.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Installers Qualification Statement.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of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Designer Qualifications: Professional Structural Engineer experienced in work of this type and licensed in the location of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Construct a mock-up with actual materials in sufficient time for Architect's review and to not delay construction progress. Locate mock-up as acceptable to Architect and provide temporary foundations and support.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The intent of a mock-up is to demonstrate quality of workmanship and visual appearance.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If the mock-up is not acceptable, rebuild the mock-up until satisfactory results are achieved.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Retain mock-up during construction as a standard for comparison with completed work.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alter or remove mock-up until work is completed or removal is authorized.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Convene a conference approximately two weeks before scheduled commencement of the Work. Attendees to include Architect, Contractor and trades involved. Agenda to include schedule, responsibilities, critical path items, and approvals.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material on flat surface, supported every 24 inches (609.60 mm) and out of direct sunlight or covered.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>
      <w:pPr>
        <w:pStyle w:val="ARCATnote"/>
        <w:rPr/>
      </w:pPr>
      <w:r>
        <w:rPr/>
        <w:t>** NOTE TO SPECIFIER ** See Fiberon Warranty Information at www.fiberondecking.com/pages/warranty.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limited warranty unless indicated otherwise.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10-year Stain, Fade, and Performance Limited Commercial Warranty.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10-year Performance Limited Commercial Warranty.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50-year Stain, Fade, and Performance Residential Warranty.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50-year Performance Limited Residential Warranty.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Fiberon,  LLC, which is located at:</w:t>
      </w:r>
      <w:r>
        <w:rPr/>
        <w:br/>
        <w:t>1 Horizon Way</w:t>
      </w:r>
      <w:r>
        <w:rPr/>
        <w:br/>
        <w:t>Deerfield, IL 60015</w:t>
      </w:r>
      <w:r>
        <w:rPr/>
        <w:br/>
        <w:t>Toll Free Tel: 800-843-7628</w:t>
      </w:r>
      <w:r>
        <w:rPr/>
        <w:br/>
        <w:t>Email: </w:t>
      </w:r>
      <w:hyperlink r:id="rId_B9393B_1" w:history="1">
        <w:tooltip>request info (info@fiberoncladding.com) downloads</w:tooltip>
        <w:r>
          <w:rPr>
            <w:rStyle w:val="Hyperlink"/>
            <w:color w:val="802020"/>
            <w:u w:val="single"/>
          </w:rPr>
          <w:t>request info (info@fiberoncladding.com)</w:t>
        </w:r>
      </w:hyperlink>
      <w:r>
        <w:rPr/>
        <w:t>;Web: </w:t>
      </w:r>
      <w:hyperlink r:id="rId_B9393B_2" w:history="1">
        <w:tooltip>https://www.fiberoncladding.com downloads</w:tooltip>
        <w:r>
          <w:rPr>
            <w:rStyle w:val="Hyperlink"/>
            <w:color w:val="802020"/>
            <w:u w:val="single"/>
          </w:rPr>
          <w:t>https://www.fiberoncladding.com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the provisions of Section 01 60 00.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PERFORMANCE CRITERIA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Structural Design Criteria: See Structural Drawings.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Structural Loads: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See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Comply with requirements of Authorities Having Jurisdiction.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Allowable Deflection: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1/120, maximum.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1/240, maximum.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1/360, maximum.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1/600, maximum.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1/720, maximum.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_____, maximum.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Flame Spread: FSI 130, Class C, ASTM E84.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Smoke Developed Index: SDI 300, ASTM E84.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PE COMPOSITE DECKING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Fiberon Novus System as manufactured and supplied by Fiberon.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Square Edge Board: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For use as perimeter boards on stair treads.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Dimension: Flat bottom, 0.93 x 5.4 inch (23.62 x 137.16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12-foot.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16-foot.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20-foot.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Golden Cedar.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Natural Ipe.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Weathered Ipe.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Wear Version: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Residential Foot Traffic: Standard Version.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Commercial Wear and Foot Traffic: Architectural Version.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Grooved Edge Board: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For use within the perimeter.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Dimension: Flat bottom, 0.93 x 5.4 inch (23.62 x 137.16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12-foot.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16-foot.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20-foot.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Golden Cedar.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Natural Ipe.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Weathered Ipe.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Wear Version: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Residential Foot Traffic: Standard Version.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Commercial Wear and Foot Traffic: Architectural Version.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Riser: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Dimension: 0.75 x 7.25 inch (19.05 x 184.15 mm) x 12 feet (3.6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To match decking.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Fascia: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Dimension: 0.75 x 11.25 inch (19.05 x 285.75 mm) x 12 feet (3.6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To match decking.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12 foot (3.6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16 foot (4.9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20 foot (6.1 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Square Edge Board Accessories and Fasteners: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Face Fastening: Fiberon PRO PLUG System hidden fasteners constructed from composite deck fascia material, color matched to decking.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Screws: Fiberon Cap-Tor xd Screws, color matched and installed flush to the deck boards.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Grooved Edge Boards Accessories and Fasteners: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Starter Clips: First and last grooved-edge board.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EDGE-Hidden Deck Clips: To hold wood joists in 90 Degree patterns.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EDGEX: Wood Joists.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EDGEXMETAL: Metal Joists.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Fiberon Phantom Universal Clips: Wood Joist pattern, two-pass installation.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the substrates have been constructed and prepared in accordance with manufacturer's written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static electricity is present, comply with manufacturer's written requirements to remove static charge.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Verify conditions of work previously installed under other sections is acceptable for installation of decking in accordance with manufacturer's written instructions and approved submittals and shop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Notify Architect of unacceptable conditions.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proceed with preparation and installation until unacceptable conditions are corrected.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Verify support framing is acceptable and within tolerances to receive decking.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Verify joists are installed in accordance with manufacturer's written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adjacent construction not receiving decking.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Inspect decking prior to installation.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decking and fasteners in accordance with manufacturer's written instructions, approved submittals, and in proper relationship with adjacent construction.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adequate and unobstructed air flow under 50 percent of deck perimeter to allow for cross-ventilation to promote dryness and negate heat buildup beneath deck.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Comply with manufacturer's joist location, fastening, and spacing requirements.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Inspection: Coordinate field inspection in accordance with appropriate sections in Division 01.</w:t>
      </w:r>
    </w:p>
    <w:p>
      <w:pPr>
        <w:pStyle w:val="ARCATnote"/>
        <w:rPr/>
      </w:pPr>
      <w:r>
        <w:rPr/>
        <w:t>** NOTE TO SPECIFIER ** Include if manufacturer provides field quality control with onsite personnel for instruction or supervision of product installation, application, erection, or construction. Delete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Services: Coordinate manufacturer's services in accordance with appropriate sections in Division 01.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Clean, touch-up and repair products in accordance with the manufacturer's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06 73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3C49FA"
  Type="http://schemas.openxmlformats.org/officeDocument/2006/relationships/image"
  Target="https://www.arcat.com/clients/gfx/fiberon.png"
  TargetMode="External"
/>
<Relationship
  Id="rId_24C03F_1"
  Type="http://schemas.openxmlformats.org/officeDocument/2006/relationships/hyperlink"
  Target="https://arcat.com/rfi?action=email&amp;company=Fiberon%252C%252B%252BLLC&amp;message=RE%253A%2520Spec%2520Question%2520(06730frn)%253A%2520&amp;coid=46896&amp;spec=06730frn&amp;rep=&amp;fax="
  TargetMode="External"
/>
<Relationship
  Id="rId_24C03F_2"
  Type="http://schemas.openxmlformats.org/officeDocument/2006/relationships/hyperlink"
  Target="https://www.fiberoncladding.com"
  TargetMode="External"
/>
<Relationship
  Id="rId_24C03F_3"
  Type="http://schemas.openxmlformats.org/officeDocument/2006/relationships/hyperlink"
  Target="https://arcat.com/company/fiberon-llc-46896"
  TargetMode="External"
/>
<Relationship
  Id="rId_B9393B_1"
  Type="http://schemas.openxmlformats.org/officeDocument/2006/relationships/hyperlink"
  Target="https://arcat.com/rfi?action=email&amp;company=Fiberon%252C%252B%252BLLC&amp;message=RE%253A%2520Spec%2520Question%2520(06730frn)%253A%2520&amp;coid=46896&amp;spec=06730frn&amp;rep=&amp;fax="
  TargetMode="External"
/>
<Relationship
  Id="rId_B9393B_2"
  Type="http://schemas.openxmlformats.org/officeDocument/2006/relationships/hyperlink"
  Target="https://www.fiberoncladding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