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oldilox.png&quot; \* MERGEFORMAT \d  \x \y">
        <w:r>
          <w:drawing>
            <wp:inline distT="0" distB="0" distL="0" distR="0">
              <wp:extent cx="3810000" cy="1905000"/>
              <wp:effectExtent l="0" t="0" r="0" b="0"/>
              <wp:docPr id="1" name="Picture rId_E16D12" descr="https://www.arcat.com/clients/gfx/goldil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16D12" descr="https://www.arcat.com/clients/gfx/goldilox.png"/>
                      <pic:cNvPicPr>
                        <a:picLocks noChangeAspect="1" noChangeArrowheads="1"/>
                      </pic:cNvPicPr>
                    </pic:nvPicPr>
                    <pic:blipFill>
                      <a:blip r:link="rId_E16D1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05 00</w:t>
      </w:r>
    </w:p>
    <w:p>
      <w:pPr>
        <w:pStyle w:val="ARCATTitle"/>
        <w:jc w:val="center"/>
        <w:rPr/>
      </w:pPr>
      <w:r>
        <w:rPr/>
        <w:t>COMMON WORK RESULTS FOR CONCRETE - TEMPORARY SURFACE (FLOOR)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GoldiLox: Concrete Surfaces Protective Covering.</w:t>
      </w:r>
      <w:r>
        <w:rPr/>
        <w:br/>
        <w:t>This section is based on the products of GoldiLox, which is located at:</w:t>
      </w:r>
      <w:r>
        <w:rPr/>
        <w:br/>
        <w:t>13 Pfeiffer Rd.</w:t>
      </w:r>
      <w:r>
        <w:rPr/>
        <w:br/>
        <w:t>Boerne, TX 78006</w:t>
      </w:r>
      <w:r>
        <w:rPr/>
        <w:br/>
        <w:t>Phone: 830-981-2210</w:t>
      </w:r>
      <w:r>
        <w:rPr/>
        <w:br/>
        <w:t>Email: info@goldiloxusa.com</w:t>
      </w:r>
      <w:r>
        <w:rPr/>
        <w:br/>
        <w:t>Web: </w:t>
      </w:r>
      <w:hyperlink r:id="rId_981233_1" w:history="1">
        <w:tooltip>www.godiloxusa.com downloads</w:tooltip>
        <w:r>
          <w:rPr>
            <w:rStyle w:val="Hyperlink"/>
            <w:color w:val="802020"/>
            <w:u w:val="single"/>
          </w:rPr>
          <w:t>www.godiloxusa.com</w:t>
        </w:r>
      </w:hyperlink>
      <w:r>
        <w:rPr/>
        <w:t> </w:t>
      </w:r>
      <w:r>
        <w:rPr/>
        <w:br/>
        <w:t>[Click Here] for additional information.</w:t>
      </w:r>
      <w:r>
        <w:rPr/>
        <w:br/>
        <w:t>A Protective Cover for Your Concrete Surfaces During Construction</w:t>
      </w:r>
      <w:r>
        <w:rPr/>
        <w:br/>
        <w:t>Protecting Polished Concrete Surfaces During All Stages of Construction</w:t>
      </w:r>
      <w:r>
        <w:rPr/>
        <w:br/>
        <w:t>What is Goldilox?</w:t>
      </w:r>
      <w:r>
        <w:rPr/>
        <w:br/>
        <w:t>GoldiLox is a breathable, industrial composite that is temporarily adhered to polished or smooth concrete surfaces. Our adhesive permeates and encapsulates a proprietary industrial textile, creating a composite floor covering that protects from weather, abrasion, spills, and markings during all stages of construction. GoldiLox is antimicrobial and antifungal, allowing you to frame directly on top of the protective surface. At the end of construction, simply peel off the composite material to reveal the clean surface underneath.</w:t>
      </w:r>
      <w:r>
        <w:rPr/>
        <w:br/>
        <w:t>GoldiLox was designed specifically for polished concrete floors by polished concrete contractors. After years of experience, it became obvious that the industry needed real-world concrete surface protection with construction budgets in mind. We designed GoldiLox to protect polished concrete floors from the vast majority of construction damage typically incurred during the life of the project. Easy to apply and cost-effective, GoldiLox offers the just-right protection.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Protective cover fabric.</w:t>
      </w:r>
    </w:p>
    <w:p w:rsidR="ABFFABFF" w:rsidRDefault="ABFFABFF" w:rsidP="ABFFABFF">
      <w:pPr>
        <w:pStyle w:val="ARCATParagraph"/>
        <w:numPr>
          <w:ilvl w:val="2"/>
          <w:numId w:val="1"/>
        </w:numPr>
        <w:rPr/>
      </w:pPr>
      <w:r>
        <w:rPr/>
        <w:t>Related adhesive.</w:t>
      </w:r>
    </w:p>
    <w:p w:rsidR="ABFFABFF" w:rsidRDefault="ABFFABFF" w:rsidP="ABFFABFF">
      <w:pPr>
        <w:pStyle w:val="ARCATParagraph"/>
        <w:numPr>
          <w:ilvl w:val="2"/>
          <w:numId w:val="1"/>
        </w:numPr>
        <w:rPr/>
      </w:pPr>
      <w:r>
        <w:rPr/>
        <w:t>Oil and grease stain remover. </w:t>
      </w:r>
    </w:p>
    <w:p w:rsidR="ABFFABFF" w:rsidRDefault="ABFFABFF" w:rsidP="ABFFABFF">
      <w:pPr>
        <w:pStyle w:val="ARCATParagraph"/>
        <w:numPr>
          <w:ilvl w:val="2"/>
          <w:numId w:val="1"/>
        </w:numPr>
        <w:rPr/>
      </w:pPr>
      <w:r>
        <w:rPr/>
        <w:t>Liquid and oil sorbent and traction agent.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 in Place Concrete.</w:t>
      </w:r>
    </w:p>
    <w:p w:rsidR="ABFFABFF" w:rsidRDefault="ABFFABFF" w:rsidP="ABFFABFF">
      <w:pPr>
        <w:pStyle w:val="ARCATParagraph"/>
        <w:numPr>
          <w:ilvl w:val="2"/>
          <w:numId w:val="1"/>
        </w:numPr>
        <w:rPr/>
      </w:pPr>
      <w:r>
        <w:rPr/>
        <w:t>Section 03 35 00 - Polished Concrete Finishing.</w:t>
      </w:r>
    </w:p>
    <w:p w:rsidR="ABFFABFF" w:rsidRDefault="ABFFABFF" w:rsidP="ABFFABFF">
      <w:pPr>
        <w:pStyle w:val="ARCATParagraph"/>
        <w:numPr>
          <w:ilvl w:val="2"/>
          <w:numId w:val="1"/>
        </w:numPr>
        <w:rPr/>
      </w:pPr>
      <w:r>
        <w:rPr/>
        <w:t>Section 03 53 00 - Concrete Topping.</w:t>
      </w:r>
    </w:p>
    <w:p w:rsidR="ABFFABFF" w:rsidRDefault="ABFFABFF" w:rsidP="ABFFABFF">
      <w:pPr>
        <w:pStyle w:val="ARCATParagraph"/>
        <w:numPr>
          <w:ilvl w:val="2"/>
          <w:numId w:val="1"/>
        </w:numPr>
        <w:rPr/>
      </w:pPr>
      <w:r>
        <w:rPr/>
        <w:t>Section 03 39 35 - Concrete Densifier, Sealer, Hardener.</w:t>
      </w:r>
    </w:p>
    <w:p w:rsidR="ABFFABFF" w:rsidRDefault="ABFFABFF" w:rsidP="ABFFABFF">
      <w:pPr>
        <w:pStyle w:val="ARCATParagraph"/>
        <w:numPr>
          <w:ilvl w:val="2"/>
          <w:numId w:val="1"/>
        </w:numPr>
        <w:rPr/>
      </w:pPr>
      <w:r>
        <w:rPr/>
        <w:t>Section 07 19 00 - Water Repellants. </w:t>
      </w:r>
    </w:p>
    <w:p w:rsidR="ABFFABFF" w:rsidRDefault="ABFFABFF" w:rsidP="ABFFABFF">
      <w:pPr>
        <w:pStyle w:val="ARCATParagraph"/>
        <w:numPr>
          <w:ilvl w:val="2"/>
          <w:numId w:val="1"/>
        </w:numPr>
        <w:rPr/>
      </w:pPr>
      <w:r>
        <w:rPr/>
        <w:t>Section 09 97 23 - Concrete and Masonry Coatings.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E648 - Standard Test Method for Critical Radiant Flux of Floor-Covering Systems Using a Radiant Heat Source. </w:t>
      </w:r>
    </w:p>
    <w:p w:rsidR="ABFFABFF" w:rsidRDefault="ABFFABFF" w:rsidP="ABFFABFF">
      <w:pPr>
        <w:pStyle w:val="ARCATSubPara"/>
        <w:numPr>
          <w:ilvl w:val="3"/>
          <w:numId w:val="1"/>
        </w:numPr>
        <w:rPr/>
      </w:pPr>
      <w:r>
        <w:rPr/>
        <w:t>ASTM G21 - Standard Practice for Determining Resistance of Synthetic Polymeric Materials to Fungi.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253 - Standard Method of Test for Critical Radiant Flux of Floor Covering Systems Using a Radiant Heat Energy Source. </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20743 - Textiles - Determination of Antibacterial Activity of Textile Products. </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National Floor Safety Institute (NFSI).</w:t>
      </w:r>
    </w:p>
    <w:p w:rsidR="ABFFABFF" w:rsidRDefault="ABFFABFF" w:rsidP="ABFFABFF">
      <w:pPr>
        <w:pStyle w:val="ARCATSubPara"/>
        <w:numPr>
          <w:ilvl w:val="3"/>
          <w:numId w:val="1"/>
        </w:numPr>
        <w:rPr/>
      </w:pPr>
      <w:r>
        <w:rPr/>
        <w:t>Rated for High Traction.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Manufacturer will supply one 70 sq ft sample upon request only.</w:t>
      </w:r>
    </w:p>
    <w:p w:rsidR="ABFFABFF" w:rsidRDefault="ABFFABFF" w:rsidP="ABFFABFF">
      <w:pPr>
        <w:pStyle w:val="ARCATSubPara"/>
        <w:numPr>
          <w:ilvl w:val="3"/>
          <w:numId w:val="1"/>
        </w:numPr>
        <w:rPr/>
      </w:pPr>
      <w:r>
        <w:rPr/>
        <w:t>Installer should sample GL prior to installation and use to ensure performance and compatibility.</w:t>
      </w:r>
    </w:p>
    <w:p w:rsidR="ABFFABFF" w:rsidRDefault="ABFFABFF" w:rsidP="ABFFABFF">
      <w:pPr>
        <w:pStyle w:val="ARCATParagraph"/>
        <w:numPr>
          <w:ilvl w:val="2"/>
          <w:numId w:val="1"/>
        </w:numPr>
        <w:rPr/>
      </w:pPr>
      <w:r>
        <w:rPr/>
        <w:t>Two representative units of each type, size, pattern, and color.</w:t>
      </w:r>
    </w:p>
    <w:p w:rsidR="ABFFABFF" w:rsidRDefault="ABFFABFF" w:rsidP="ABFFABFF">
      <w:pPr>
        <w:pStyle w:val="ARCATParagraph"/>
        <w:numPr>
          <w:ilvl w:val="2"/>
          <w:numId w:val="1"/>
        </w:numPr>
        <w:rPr/>
      </w:pPr>
      <w:r>
        <w:rPr/>
        <w:t>Shop Drawings: Include details of materials and application Include relationship with adjacent construction and termination points, control and decorative joints, and lines of intentional color differences in finish surfaces.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Goldilox USA, which is located at:</w:t>
      </w:r>
      <w:r>
        <w:rPr/>
        <w:br/>
        <w:t>13 Pfeiffer Rd.</w:t>
      </w:r>
      <w:r>
        <w:rPr/>
        <w:br/>
        <w:t> Boerne, TX 78006</w:t>
      </w:r>
      <w:r>
        <w:rPr/>
        <w:br/>
        <w:t>Tel: 830-981-2210</w:t>
      </w:r>
      <w:r>
        <w:rPr/>
        <w:br/>
        <w:t>Email: </w:t>
      </w:r>
      <w:hyperlink r:id="rId_039DCE_1" w:history="1">
        <w:tooltip>request info (info@goldiloxusa.com) downloads</w:tooltip>
        <w:r>
          <w:rPr>
            <w:rStyle w:val="Hyperlink"/>
            <w:color w:val="802020"/>
            <w:u w:val="single"/>
          </w:rPr>
          <w:t>request info (info@goldiloxusa.com)</w:t>
        </w:r>
      </w:hyperlink>
      <w:r>
        <w:rPr/>
        <w:t>;Web: </w:t>
      </w:r>
      <w:hyperlink r:id="rId_039DCE_2" w:history="1">
        <w:tooltip>https://www.goldiloxusa.com downloads</w:tooltip>
        <w:r>
          <w:rPr>
            <w:rStyle w:val="Hyperlink"/>
            <w:color w:val="802020"/>
            <w:u w:val="single"/>
          </w:rPr>
          <w:t>https://www.goldiloxusa.com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paragraphs not required. The GoldiLox Glue Down Protective System is developed specifically for polished and smooth concrete floors. GoldiLox adhesive has also been proven suitable for non-acrylic, non-porous surfaces such as stone, marble, terrazzo, sealed concrete, epoxy, metal, glass, tile, PVC, sanitary ware tube and stainless steel. Must be tested on inconspicuous area prior to application on non-polished or smooth concrete floors. </w:t>
      </w:r>
    </w:p>
    <w:p w:rsidR="ABFFABFF" w:rsidRDefault="ABFFABFF" w:rsidP="ABFFABFF">
      <w:pPr>
        <w:pStyle w:val="ARCATArticle"/>
        <w:numPr>
          <w:ilvl w:val="1"/>
          <w:numId w:val="1"/>
        </w:numPr>
        <w:rPr/>
      </w:pPr>
      <w:r>
        <w:rPr/>
        <w:t>CONCRETE PROTECTION - POLISHED AND SMOOTH</w:t>
      </w:r>
    </w:p>
    <w:p w:rsidR="ABFFABFF" w:rsidRDefault="ABFFABFF" w:rsidP="ABFFABFF">
      <w:pPr>
        <w:pStyle w:val="ARCATParagraph"/>
        <w:numPr>
          <w:ilvl w:val="2"/>
          <w:numId w:val="1"/>
        </w:numPr>
        <w:rPr/>
      </w:pPr>
      <w:r>
        <w:rPr/>
        <w:t>Basis of Design: Goldilox Protective Cover Fabric; as manufactured and supplied by Goldilox.</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G21: Standards for Antifungal Properties. </w:t>
      </w:r>
    </w:p>
    <w:p w:rsidR="ABFFABFF" w:rsidRDefault="ABFFABFF" w:rsidP="ABFFABFF">
      <w:pPr>
        <w:pStyle w:val="ARCATSubSub1"/>
        <w:numPr>
          <w:ilvl w:val="4"/>
          <w:numId w:val="1"/>
        </w:numPr>
        <w:rPr/>
      </w:pPr>
      <w:r>
        <w:rPr/>
        <w:t>ASTM E648, NFPA 253: Class 1 Flame and Fire Retardant. </w:t>
      </w:r>
    </w:p>
    <w:p w:rsidR="ABFFABFF" w:rsidRDefault="ABFFABFF" w:rsidP="ABFFABFF">
      <w:pPr>
        <w:pStyle w:val="ARCATSubSub1"/>
        <w:numPr>
          <w:ilvl w:val="4"/>
          <w:numId w:val="1"/>
        </w:numPr>
        <w:rPr/>
      </w:pPr>
      <w:r>
        <w:rPr/>
        <w:t>ISO 20743: Standards for Antimicrobial Properties. </w:t>
      </w:r>
    </w:p>
    <w:p w:rsidR="ABFFABFF" w:rsidRDefault="ABFFABFF" w:rsidP="ABFFABFF">
      <w:pPr>
        <w:pStyle w:val="ARCATSubSub1"/>
        <w:numPr>
          <w:ilvl w:val="4"/>
          <w:numId w:val="1"/>
        </w:numPr>
        <w:rPr/>
      </w:pPr>
      <w:r>
        <w:rPr/>
        <w:t>NFSI, ANSI: High Traction Standards for Friction.</w:t>
      </w:r>
    </w:p>
    <w:p w:rsidR="ABFFABFF" w:rsidRDefault="ABFFABFF" w:rsidP="ABFFABFF">
      <w:pPr>
        <w:pStyle w:val="ARCATSubPara"/>
        <w:numPr>
          <w:ilvl w:val="3"/>
          <w:numId w:val="1"/>
        </w:numPr>
        <w:rPr/>
      </w:pPr>
      <w:r>
        <w:rPr/>
        <w:t>Description: Breathable, seamless, antimicrobial, antifungal., UV, weather, scratch and abrasion, traffic, welding, debris, construction vehicle, spill and slip resistant glue down composite floor protection for temporary adhesion to polished or smooth concrete surfaces. </w:t>
      </w:r>
    </w:p>
    <w:p w:rsidR="ABFFABFF" w:rsidRDefault="ABFFABFF" w:rsidP="ABFFABFF">
      <w:pPr>
        <w:pStyle w:val="ARCATSubSub1"/>
        <w:numPr>
          <w:ilvl w:val="4"/>
          <w:numId w:val="1"/>
        </w:numPr>
        <w:rPr/>
      </w:pPr>
      <w:r>
        <w:rPr/>
        <w:t>Fabric Roll Dimensions: 65 inch x 375 ft (1.65 x 114.3 m).</w:t>
      </w:r>
    </w:p>
    <w:p w:rsidR="ABFFABFF" w:rsidRDefault="ABFFABFF" w:rsidP="ABFFABFF">
      <w:pPr>
        <w:pStyle w:val="ARCATSubSub1"/>
        <w:numPr>
          <w:ilvl w:val="4"/>
          <w:numId w:val="1"/>
        </w:numPr>
        <w:rPr/>
      </w:pPr>
      <w:r>
        <w:rPr/>
        <w:t>Fabric Coverage Area: 2.000 sq.ft. (185.81 m2) per roll. </w:t>
      </w:r>
    </w:p>
    <w:p w:rsidR="ABFFABFF" w:rsidRDefault="ABFFABFF" w:rsidP="ABFFABFF">
      <w:pPr>
        <w:pStyle w:val="ARCATSubSub1"/>
        <w:numPr>
          <w:ilvl w:val="4"/>
          <w:numId w:val="1"/>
        </w:numPr>
        <w:rPr/>
      </w:pPr>
      <w:r>
        <w:rPr/>
        <w:t>UV and Weather Protection Duration: 24 months. </w:t>
      </w:r>
    </w:p>
    <w:p w:rsidR="ABFFABFF" w:rsidRDefault="ABFFABFF" w:rsidP="ABFFABFF">
      <w:pPr>
        <w:pStyle w:val="ARCATParagraph"/>
        <w:numPr>
          <w:ilvl w:val="2"/>
          <w:numId w:val="1"/>
        </w:numPr>
        <w:rPr/>
      </w:pPr>
      <w:r>
        <w:rPr/>
        <w:t>Basis of Design: GoldiLox Adhesive; as manufactured and supplied by Goldilox.</w:t>
      </w:r>
    </w:p>
    <w:p w:rsidR="ABFFABFF" w:rsidRDefault="ABFFABFF" w:rsidP="ABFFABFF">
      <w:pPr>
        <w:pStyle w:val="ARCATSubPara"/>
        <w:numPr>
          <w:ilvl w:val="3"/>
          <w:numId w:val="1"/>
        </w:numPr>
        <w:rPr/>
      </w:pPr>
      <w:r>
        <w:rPr/>
        <w:t>Adhesive Description: Permeating, encapsulating, non-staining, and low VOC formula.</w:t>
      </w:r>
    </w:p>
    <w:p w:rsidR="ABFFABFF" w:rsidRDefault="ABFFABFF" w:rsidP="ABFFABFF">
      <w:pPr>
        <w:pStyle w:val="ARCATSubPara"/>
        <w:numPr>
          <w:ilvl w:val="3"/>
          <w:numId w:val="1"/>
        </w:numPr>
        <w:rPr/>
      </w:pPr>
      <w:r>
        <w:rPr/>
        <w:t>Adhesive Coverage Area: 70 sq.ft. (7.43 sq m) per gallon. </w:t>
      </w:r>
    </w:p>
    <w:p w:rsidR="ABFFABFF" w:rsidRDefault="ABFFABFF" w:rsidP="ABFFABFF">
      <w:pPr>
        <w:pStyle w:val="ARCATSubPara"/>
        <w:numPr>
          <w:ilvl w:val="3"/>
          <w:numId w:val="1"/>
        </w:numPr>
        <w:rPr/>
      </w:pPr>
      <w:r>
        <w:rPr/>
        <w:t>Adhesive Volume: 5 gallons (18.93 L) per bucket. </w:t>
      </w:r>
    </w:p>
    <w:p w:rsidR="ABFFABFF" w:rsidRDefault="ABFFABFF" w:rsidP="ABFFABFF">
      <w:pPr>
        <w:pStyle w:val="ARCATSubSub1"/>
        <w:numPr>
          <w:ilvl w:val="4"/>
          <w:numId w:val="1"/>
        </w:numPr>
        <w:rPr/>
      </w:pPr>
      <w:r>
        <w:rPr/>
        <w:t>Coverage: 350 sq.ft. (32.52 sq m). </w:t>
      </w:r>
    </w:p>
    <w:p w:rsidR="ABFFABFF" w:rsidRDefault="ABFFABFF" w:rsidP="ABFFABFF">
      <w:pPr>
        <w:pStyle w:val="ARCATParagraph"/>
        <w:numPr>
          <w:ilvl w:val="2"/>
          <w:numId w:val="1"/>
        </w:numPr>
        <w:rPr/>
      </w:pPr>
      <w:r>
        <w:rPr/>
        <w:t>Basis of Design: GoldiLox Oil and Grease Stain Remover; as manufactured an supplied by GoldiLox. </w:t>
      </w:r>
    </w:p>
    <w:p w:rsidR="ABFFABFF" w:rsidRDefault="ABFFABFF" w:rsidP="ABFFABFF">
      <w:pPr>
        <w:pStyle w:val="ARCATSubPara"/>
        <w:numPr>
          <w:ilvl w:val="3"/>
          <w:numId w:val="1"/>
        </w:numPr>
        <w:rPr/>
      </w:pPr>
      <w:r>
        <w:rPr/>
        <w:t>Oil, Grease and Stain Remover Description: Poultice for use in removing oil and grease stains from concrete, stone, and other porous surfaces. </w:t>
      </w:r>
    </w:p>
    <w:p w:rsidR="ABFFABFF" w:rsidRDefault="ABFFABFF" w:rsidP="ABFFABFF">
      <w:pPr>
        <w:pStyle w:val="ARCATParagraph"/>
        <w:numPr>
          <w:ilvl w:val="2"/>
          <w:numId w:val="1"/>
        </w:numPr>
        <w:rPr/>
      </w:pPr>
      <w:r>
        <w:rPr/>
        <w:t>Basis of Design: GoldiLox Liquid and Oil Sorbent and Traction Agent; as manufactured an supplied by GoldiLox. </w:t>
      </w:r>
    </w:p>
    <w:p w:rsidR="ABFFABFF" w:rsidRDefault="ABFFABFF" w:rsidP="ABFFABFF">
      <w:pPr>
        <w:pStyle w:val="ARCATSubPara"/>
        <w:numPr>
          <w:ilvl w:val="3"/>
          <w:numId w:val="1"/>
        </w:numPr>
        <w:rPr/>
      </w:pPr>
      <w:r>
        <w:rPr/>
        <w:t>Liquid and Oil Sorbent and Traction Agent Description: Super sorbent, leaves surface completely dry.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troweled, cured and prepared. Do not install over "green", porous, or topically coated surfaces. concrete.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according to manufacturer's recommendations.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and substrate installation or preparation.</w:t>
      </w:r>
    </w:p>
    <w:p w:rsidR="ABFFABFF" w:rsidRDefault="ABFFABFF" w:rsidP="ABFFABFF">
      <w:pPr>
        <w:pStyle w:val="ARCATSubPara"/>
        <w:numPr>
          <w:ilvl w:val="3"/>
          <w:numId w:val="1"/>
        </w:numPr>
        <w:rPr/>
      </w:pPr>
      <w:r>
        <w:rPr/>
        <w:t>Install glue down protective system using manufacturer's recommended supplies. </w:t>
      </w:r>
    </w:p>
    <w:p w:rsidR="ABFFABFF" w:rsidRDefault="ABFFABFF" w:rsidP="ABFFABFF">
      <w:pPr>
        <w:pStyle w:val="ARCATSubPara"/>
        <w:numPr>
          <w:ilvl w:val="3"/>
          <w:numId w:val="1"/>
        </w:numPr>
        <w:rPr/>
      </w:pPr>
      <w:r>
        <w:rPr/>
        <w:t>Do not apply to porous surfaces, rubber, carpet, linoleum, vinyl, latex-based grout, painted, coated, or sealed surfaces. See Manufacturer's installation instructions for more details.</w:t>
      </w:r>
    </w:p>
    <w:p w:rsidR="ABFFABFF" w:rsidRDefault="ABFFABFF" w:rsidP="ABFFABFF">
      <w:pPr>
        <w:pStyle w:val="ARCATSubPara"/>
        <w:numPr>
          <w:ilvl w:val="3"/>
          <w:numId w:val="1"/>
        </w:numPr>
        <w:rPr/>
      </w:pPr>
      <w:r>
        <w:rPr/>
        <w:t>Align fabric with termination points and defining breaks as recommended by the manufacturer. </w:t>
      </w:r>
    </w:p>
    <w:p w:rsidR="ABFFABFF" w:rsidRDefault="ABFFABFF" w:rsidP="ABFFABFF">
      <w:pPr>
        <w:pStyle w:val="ARCATSubPara"/>
        <w:numPr>
          <w:ilvl w:val="3"/>
          <w:numId w:val="1"/>
        </w:numPr>
        <w:rPr/>
      </w:pPr>
      <w:r>
        <w:rPr/>
        <w:t>Allow installed system to dry for 24 hours, or tack free before allowing heavy traffic. </w:t>
      </w:r>
    </w:p>
    <w:p w:rsidR="ABFFABFF" w:rsidRDefault="ABFFABFF" w:rsidP="ABFFABFF">
      <w:pPr>
        <w:pStyle w:val="ARCATSubPara"/>
        <w:numPr>
          <w:ilvl w:val="3"/>
          <w:numId w:val="1"/>
        </w:numPr>
        <w:rPr/>
      </w:pPr>
      <w:r>
        <w:rPr/>
        <w:t>Spot treat, patch, and repair rips, tears, and cuts as required.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glue down protection system in accordance with the manufacturers recommendations. </w:t>
      </w:r>
    </w:p>
    <w:p w:rsidR="ABFFABFF" w:rsidRDefault="ABFFABFF" w:rsidP="ABFFABFF">
      <w:pPr>
        <w:pStyle w:val="ARCATParagraph"/>
        <w:numPr>
          <w:ilvl w:val="2"/>
          <w:numId w:val="1"/>
        </w:numPr>
        <w:rPr/>
      </w:pPr>
      <w:r>
        <w:rPr/>
        <w:t>Apply oil and grease stain remover poultice, and clean affected surfaces in accordance with manufacturer's instructions. </w:t>
      </w:r>
    </w:p>
    <w:p w:rsidR="ABFFABFF" w:rsidRDefault="ABFFABFF" w:rsidP="ABFFABFF">
      <w:pPr>
        <w:pStyle w:val="ARCATParagraph"/>
        <w:numPr>
          <w:ilvl w:val="2"/>
          <w:numId w:val="1"/>
        </w:numPr>
        <w:rPr/>
      </w:pPr>
      <w:r>
        <w:rPr/>
        <w:t>Apply liquid and oil sorbent and traction agent, and clean affected surfaces in accordance with manufacturer's instructions. </w:t>
      </w:r>
    </w:p>
    <w:p w:rsidR="ABFFABFF" w:rsidRDefault="ABFFABFF" w:rsidP="ABFFABFF">
      <w:pPr>
        <w:pStyle w:val="ARCATParagraph"/>
        <w:numPr>
          <w:ilvl w:val="2"/>
          <w:numId w:val="1"/>
        </w:numPr>
        <w:rPr/>
      </w:pPr>
      <w:r>
        <w:rPr/>
        <w:t>Remove glue down protective system in accordance with manufacturer's instructions upon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16D12"
  Type="http://schemas.openxmlformats.org/officeDocument/2006/relationships/image"
  Target="https://www.arcat.com/clients/gfx/goldilox.png"
  TargetMode="External"
/>
<Relationship
  Id="rId_981233_1"
  Type="http://schemas.openxmlformats.org/officeDocument/2006/relationships/hyperlink"
  Target="http://www.godiloxusa.com"
  TargetMode="External"
/>
<Relationship
  Id="rId_039DCE_1"
  Type="http://schemas.openxmlformats.org/officeDocument/2006/relationships/hyperlink"
  Target="https://arcat.com/rfi?action=email&amp;company=Goldilox%252BUSA&amp;message=RE%253A%2520Spec%2520Question%2520(03050gdl)%253A%2520&amp;coid=54237&amp;spec=03050gdl&amp;rep=&amp;fax="
  TargetMode="External"
/>
<Relationship
  Id="rId_039DCE_2"
  Type="http://schemas.openxmlformats.org/officeDocument/2006/relationships/hyperlink"
  Target="https://www.goldilox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