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49DCA8"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DCA8" descr="https://www.arcat.com/clients/gfx/seton.png"/>
                      <pic:cNvPicPr>
                        <a:picLocks noChangeAspect="1" noChangeArrowheads="1"/>
                      </pic:cNvPicPr>
                    </pic:nvPicPr>
                    <pic:blipFill>
                      <a:blip r:link="rId_49DCA8"/>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5A2073_1" w:history="1">
        <w:tooltip>request info (hunter_schuettke@bradycorp.com) downloads</w:tooltip>
        <w:r>
          <w:rPr>
            <w:rStyle w:val="Hyperlink"/>
            <w:color w:val="802020"/>
            <w:u w:val="single"/>
          </w:rPr>
          <w:t>request info (hunter_schuettke@bradycorp.com)</w:t>
        </w:r>
      </w:hyperlink>
      <w:r>
        <w:rPr/>
        <w:t/>
      </w:r>
      <w:r>
        <w:rPr/>
        <w:br/>
        <w:t>Web: </w:t>
      </w:r>
      <w:hyperlink r:id="rId_5A2073_2" w:history="1">
        <w:tooltip>http://www.seton.com downloads</w:tooltip>
        <w:r>
          <w:rPr>
            <w:rStyle w:val="Hyperlink"/>
            <w:color w:val="802020"/>
            <w:u w:val="single"/>
          </w:rPr>
          <w:t>http://www.seton.com</w:t>
        </w:r>
      </w:hyperlink>
      <w:r>
        <w:rPr/>
        <w:t>  </w:t>
      </w:r>
      <w:r>
        <w:rPr/>
        <w:br/>
        <w:t> [ </w:t>
      </w:r>
      <w:hyperlink r:id="rId_5A2073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213B1A_1" w:history="1">
        <w:tooltip>request info (hunter_schuettke@bradycorp.com) downloads</w:tooltip>
        <w:r>
          <w:rPr>
            <w:rStyle w:val="Hyperlink"/>
            <w:color w:val="802020"/>
            <w:u w:val="single"/>
          </w:rPr>
          <w:t>request info (hunter_schuettke@bradycorp.com)</w:t>
        </w:r>
      </w:hyperlink>
      <w:r>
        <w:rPr/>
        <w:t>;Web: </w:t>
      </w:r>
      <w:hyperlink r:id="rId_213B1A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DCA8"
  Type="http://schemas.openxmlformats.org/officeDocument/2006/relationships/image"
  Target="https://www.arcat.com/clients/gfx/seton.png"
  TargetMode="External"
/>
<Relationship
  Id="rId_5A2073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5A2073_2"
  Type="http://schemas.openxmlformats.org/officeDocument/2006/relationships/hyperlink"
  Target="http://www.seton.com"
  TargetMode="External"
/>
<Relationship
  Id="rId_5A2073_3"
  Type="http://schemas.openxmlformats.org/officeDocument/2006/relationships/hyperlink"
  Target="https://arcat.com/company/seton-identification-products-35456"
  TargetMode="External"
/>
<Relationship
  Id="rId_213B1A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213B1A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