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FF29B8"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29B8" descr="https://www.arcat.com/clients/gfx/trex_outdoor.png"/>
                      <pic:cNvPicPr>
                        <a:picLocks noChangeAspect="1" noChangeArrowheads="1"/>
                      </pic:cNvPicPr>
                    </pic:nvPicPr>
                    <pic:blipFill>
                      <a:blip r:link="rId_FF29B8"/>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074620_1" w:history="1">
        <w:tooltip>www.trex-outdoorkitchens.com downloads</w:tooltip>
        <w:r>
          <w:rPr>
            <w:rStyle w:val="Hyperlink"/>
            <w:color w:val="802020"/>
            <w:u w:val="single"/>
          </w:rPr>
          <w:t>www.trex-outdoorkitchens.com</w:t>
        </w:r>
      </w:hyperlink>
      <w:r>
        <w:rPr/>
        <w:t> </w:t>
      </w:r>
      <w:r>
        <w:rPr/>
        <w:br/>
        <w:t>Email: </w:t>
      </w:r>
      <w:hyperlink r:id="rId_074620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270451_1" w:history="1">
        <w:tooltip>www.trex-outdoorkitchens.com downloads</w:tooltip>
        <w:r>
          <w:rPr>
            <w:rStyle w:val="Hyperlink"/>
            <w:color w:val="802020"/>
            <w:u w:val="single"/>
          </w:rPr>
          <w:t>www.trex-outdoorkitchens.com</w:t>
        </w:r>
      </w:hyperlink>
      <w:r>
        <w:rPr/>
        <w:t> . Email: request info ( </w:t>
      </w:r>
      <w:hyperlink r:id="rId_270451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29B8"
  Type="http://schemas.openxmlformats.org/officeDocument/2006/relationships/image"
  Target="https://www.arcat.com/clients/gfx/trex_outdoor.png"
  TargetMode="External"
/>
<Relationship
  Id="rId_074620_1"
  Type="http://schemas.openxmlformats.org/officeDocument/2006/relationships/hyperlink"
  Target="http://www.trex-outdoorkitchens.com"
  TargetMode="External"
/>
<Relationship
  Id="rId_074620_2"
  Type="http://schemas.openxmlformats.org/officeDocument/2006/relationships/hyperlink"
  Target="mailto:request%20info%20(info@trex-outdoorkitchens.com)"
  TargetMode="External"
/>
<Relationship
  Id="rId_270451_1"
  Type="http://schemas.openxmlformats.org/officeDocument/2006/relationships/hyperlink"
  Target="http://www.trex-outdoorkitchens.com"
  TargetMode="External"
/>
<Relationship
  Id="rId_270451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